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0839" w14:textId="4457D361" w:rsidR="003F095A" w:rsidRPr="00F87D98" w:rsidRDefault="00590E2A" w:rsidP="00931A55">
      <w:pPr>
        <w:pStyle w:val="Heading1"/>
      </w:pPr>
      <w:r>
        <w:rPr>
          <w:rFonts w:ascii="Cambria" w:hAnsi="Cambria"/>
          <w:noProof/>
          <w:lang w:eastAsia="en-US"/>
        </w:rPr>
        <mc:AlternateContent>
          <mc:Choice Requires="wps">
            <w:drawing>
              <wp:anchor distT="0" distB="0" distL="114300" distR="114300" simplePos="0" relativeHeight="251662336" behindDoc="0" locked="0" layoutInCell="1" allowOverlap="1" wp14:anchorId="4AA4331B" wp14:editId="7A6E6D7A">
                <wp:simplePos x="0" y="0"/>
                <wp:positionH relativeFrom="column">
                  <wp:posOffset>-133985</wp:posOffset>
                </wp:positionH>
                <wp:positionV relativeFrom="paragraph">
                  <wp:posOffset>579120</wp:posOffset>
                </wp:positionV>
                <wp:extent cx="5557520" cy="6167120"/>
                <wp:effectExtent l="0" t="0" r="30480" b="30480"/>
                <wp:wrapTight wrapText="bothSides">
                  <wp:wrapPolygon edited="0">
                    <wp:start x="0" y="0"/>
                    <wp:lineTo x="0" y="21618"/>
                    <wp:lineTo x="21620" y="21618"/>
                    <wp:lineTo x="2162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6167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136048" w14:textId="69F982E2" w:rsidR="00E1618A" w:rsidRPr="00861E7A" w:rsidRDefault="00E1618A" w:rsidP="003F095A">
                            <w:pPr>
                              <w:pStyle w:val="ListParagraph"/>
                              <w:ind w:left="0"/>
                              <w:rPr>
                                <w:rFonts w:ascii="Cambria" w:hAnsi="Cambria"/>
                                <w:u w:val="single"/>
                              </w:rPr>
                            </w:pPr>
                            <w:bookmarkStart w:id="0" w:name="_GoBack"/>
                            <w:r>
                              <w:rPr>
                                <w:rFonts w:ascii="Cambria" w:hAnsi="Cambria"/>
                                <w:u w:val="single"/>
                              </w:rPr>
                              <w:t>Food policies</w:t>
                            </w:r>
                          </w:p>
                          <w:p w14:paraId="668B1372" w14:textId="66D9ACFB" w:rsidR="00E1618A" w:rsidRDefault="00E1618A" w:rsidP="003F095A">
                            <w:pPr>
                              <w:pStyle w:val="ListParagraph"/>
                              <w:numPr>
                                <w:ilvl w:val="0"/>
                                <w:numId w:val="5"/>
                              </w:numPr>
                              <w:rPr>
                                <w:rFonts w:ascii="Cambria" w:hAnsi="Cambria"/>
                              </w:rPr>
                            </w:pPr>
                            <w:r>
                              <w:rPr>
                                <w:rFonts w:ascii="Cambria" w:hAnsi="Cambria"/>
                              </w:rPr>
                              <w:t>Food price dilemma and food policy definition</w:t>
                            </w:r>
                          </w:p>
                          <w:p w14:paraId="5DDF5B45" w14:textId="3A28942D" w:rsidR="00E1618A" w:rsidRDefault="00E1618A" w:rsidP="003F095A">
                            <w:pPr>
                              <w:pStyle w:val="ListParagraph"/>
                              <w:numPr>
                                <w:ilvl w:val="0"/>
                                <w:numId w:val="5"/>
                              </w:numPr>
                              <w:rPr>
                                <w:rFonts w:ascii="Cambria" w:hAnsi="Cambria"/>
                              </w:rPr>
                            </w:pPr>
                            <w:r>
                              <w:rPr>
                                <w:rFonts w:ascii="Cambria" w:hAnsi="Cambria"/>
                              </w:rPr>
                              <w:t xml:space="preserve">Categories of policies </w:t>
                            </w:r>
                          </w:p>
                          <w:p w14:paraId="33619860" w14:textId="2213DAEF" w:rsidR="00E1618A" w:rsidRPr="004F2E08" w:rsidRDefault="00E1618A" w:rsidP="004F2E08">
                            <w:pPr>
                              <w:pStyle w:val="ListParagraph"/>
                              <w:numPr>
                                <w:ilvl w:val="0"/>
                                <w:numId w:val="5"/>
                              </w:numPr>
                              <w:rPr>
                                <w:rFonts w:ascii="Cambria" w:hAnsi="Cambria"/>
                              </w:rPr>
                            </w:pPr>
                            <w:r>
                              <w:rPr>
                                <w:rFonts w:ascii="Cambria" w:hAnsi="Cambria"/>
                              </w:rPr>
                              <w:t>Examples</w:t>
                            </w:r>
                          </w:p>
                          <w:p w14:paraId="421F7C22" w14:textId="02E58F86" w:rsidR="00E1618A" w:rsidRDefault="00E1618A" w:rsidP="003F095A">
                            <w:pPr>
                              <w:pStyle w:val="ListParagraph"/>
                              <w:numPr>
                                <w:ilvl w:val="0"/>
                                <w:numId w:val="5"/>
                              </w:numPr>
                              <w:rPr>
                                <w:rFonts w:ascii="Cambria" w:hAnsi="Cambria"/>
                              </w:rPr>
                            </w:pPr>
                            <w:r>
                              <w:rPr>
                                <w:rFonts w:ascii="Cambria" w:hAnsi="Cambria"/>
                              </w:rPr>
                              <w:t>Sources of policy risk</w:t>
                            </w:r>
                          </w:p>
                          <w:p w14:paraId="0DE770F8" w14:textId="3BBFA859" w:rsidR="00E1618A" w:rsidRPr="00150271" w:rsidRDefault="00E1618A" w:rsidP="003F095A">
                            <w:pPr>
                              <w:pStyle w:val="ListParagraph"/>
                              <w:numPr>
                                <w:ilvl w:val="0"/>
                                <w:numId w:val="5"/>
                              </w:numPr>
                              <w:rPr>
                                <w:rFonts w:ascii="Cambria" w:hAnsi="Cambria"/>
                              </w:rPr>
                            </w:pPr>
                            <w:r>
                              <w:rPr>
                                <w:rFonts w:ascii="Cambria" w:hAnsi="Cambria"/>
                              </w:rPr>
                              <w:t>Sources of information about policies</w:t>
                            </w:r>
                          </w:p>
                          <w:p w14:paraId="4CE9F559" w14:textId="77777777" w:rsidR="00E1618A" w:rsidRPr="00150271" w:rsidRDefault="00E1618A" w:rsidP="003F095A">
                            <w:pPr>
                              <w:rPr>
                                <w:rFonts w:ascii="Cambria" w:hAnsi="Cambria"/>
                              </w:rPr>
                            </w:pPr>
                          </w:p>
                          <w:p w14:paraId="68086B16" w14:textId="77777777" w:rsidR="00317295" w:rsidRPr="00F3071E" w:rsidRDefault="00317295" w:rsidP="00317295">
                            <w:pPr>
                              <w:rPr>
                                <w:rFonts w:ascii="Cambria" w:hAnsi="Cambria"/>
                                <w:i/>
                              </w:rPr>
                            </w:pPr>
                            <w:r w:rsidRPr="00F3071E">
                              <w:rPr>
                                <w:rFonts w:ascii="Cambria" w:hAnsi="Cambria"/>
                                <w:i/>
                              </w:rPr>
                              <w:t>Readings</w:t>
                            </w:r>
                          </w:p>
                          <w:p w14:paraId="26011FF5" w14:textId="77777777" w:rsidR="00317295" w:rsidRPr="00F3071E" w:rsidRDefault="00317295" w:rsidP="00317295">
                            <w:pPr>
                              <w:pStyle w:val="ListParagraph"/>
                              <w:numPr>
                                <w:ilvl w:val="0"/>
                                <w:numId w:val="6"/>
                              </w:numPr>
                              <w:rPr>
                                <w:rFonts w:ascii="Cambria" w:hAnsi="Cambria"/>
                              </w:rPr>
                            </w:pPr>
                            <w:r w:rsidRPr="00F3071E">
                              <w:rPr>
                                <w:rFonts w:ascii="Cambria" w:hAnsi="Cambria"/>
                              </w:rPr>
                              <w:t xml:space="preserve">FEWS NET (2008) “Market Assessment and Analysis: Learners Notes. Lesson 3: Market Indicators: Annex 3: Policy impacts on markets and population” FAO. P. 24. </w:t>
                            </w:r>
                            <w:r>
                              <w:rPr>
                                <w:rFonts w:ascii="Cambria" w:hAnsi="Cambria"/>
                                <w:i/>
                              </w:rPr>
                              <w:t xml:space="preserve"> </w:t>
                            </w:r>
                            <w:hyperlink r:id="rId9" w:history="1">
                              <w:r>
                                <w:rPr>
                                  <w:rStyle w:val="Hyperlink"/>
                                </w:rPr>
                                <w:t>http://www.fews.net/docs/Publications/Market%20Assessment%20and%20Analysis%20Training%20Module.pdf</w:t>
                              </w:r>
                            </w:hyperlink>
                          </w:p>
                          <w:p w14:paraId="1433C23D" w14:textId="77777777" w:rsidR="00317295" w:rsidRPr="00F3071E" w:rsidRDefault="00317295" w:rsidP="00317295">
                            <w:pPr>
                              <w:pStyle w:val="ListParagraph"/>
                              <w:numPr>
                                <w:ilvl w:val="0"/>
                                <w:numId w:val="6"/>
                              </w:numPr>
                              <w:rPr>
                                <w:rFonts w:ascii="Cambria" w:hAnsi="Cambria"/>
                              </w:rPr>
                            </w:pPr>
                            <w:proofErr w:type="spellStart"/>
                            <w:r w:rsidRPr="00F3071E">
                              <w:rPr>
                                <w:rFonts w:ascii="Cambria" w:hAnsi="Cambria"/>
                              </w:rPr>
                              <w:t>Dorosh</w:t>
                            </w:r>
                            <w:proofErr w:type="spellEnd"/>
                            <w:r w:rsidRPr="00F3071E">
                              <w:rPr>
                                <w:rFonts w:ascii="Cambria" w:hAnsi="Cambria"/>
                              </w:rPr>
                              <w:t xml:space="preserve">, Paul A., 2001. “Trade Liberalization and National Food Security: Rice Trade between Bangladesh and India.” </w:t>
                            </w:r>
                            <w:r w:rsidRPr="0031433E">
                              <w:rPr>
                                <w:rFonts w:ascii="Cambria" w:hAnsi="Cambria"/>
                                <w:i/>
                              </w:rPr>
                              <w:t>World Development</w:t>
                            </w:r>
                            <w:r w:rsidRPr="00F3071E">
                              <w:rPr>
                                <w:rFonts w:ascii="Cambria" w:hAnsi="Cambria"/>
                              </w:rPr>
                              <w:t xml:space="preserve"> 29 (4) pp. 673-689.</w:t>
                            </w:r>
                          </w:p>
                          <w:p w14:paraId="20AF5589" w14:textId="77777777" w:rsidR="00317295" w:rsidRPr="00F3071E" w:rsidRDefault="00317295" w:rsidP="00317295">
                            <w:pPr>
                              <w:pStyle w:val="ListParagraph"/>
                              <w:rPr>
                                <w:rFonts w:ascii="Cambria" w:hAnsi="Cambria"/>
                              </w:rPr>
                            </w:pPr>
                            <w:hyperlink r:id="rId10" w:history="1">
                              <w:proofErr w:type="gramStart"/>
                              <w:r w:rsidRPr="00F3071E">
                                <w:rPr>
                                  <w:rStyle w:val="Hyperlink"/>
                                  <w:rFonts w:ascii="Cambria" w:hAnsi="Cambria"/>
                                </w:rPr>
                                <w:t>doi:10.1016</w:t>
                              </w:r>
                              <w:proofErr w:type="gramEnd"/>
                              <w:r w:rsidRPr="00F3071E">
                                <w:rPr>
                                  <w:rStyle w:val="Hyperlink"/>
                                  <w:rFonts w:ascii="Cambria" w:hAnsi="Cambria"/>
                                </w:rPr>
                                <w:t>/S0305-750X(00)00121-2</w:t>
                              </w:r>
                            </w:hyperlink>
                          </w:p>
                          <w:p w14:paraId="0171252A" w14:textId="77777777" w:rsidR="00317295" w:rsidRPr="00F3071E" w:rsidRDefault="00317295" w:rsidP="00317295">
                            <w:pPr>
                              <w:pStyle w:val="ListParagraph"/>
                              <w:rPr>
                                <w:rFonts w:ascii="Cambria" w:hAnsi="Cambria"/>
                              </w:rPr>
                            </w:pPr>
                            <w:hyperlink r:id="rId11" w:history="1">
                              <w:r w:rsidRPr="00F3071E">
                                <w:rPr>
                                  <w:rStyle w:val="Hyperlink"/>
                                  <w:rFonts w:ascii="Cambria" w:hAnsi="Cambria"/>
                                </w:rPr>
                                <w:t>http://www.sciencedirect.com/science/article/pii/S0305750X00001212</w:t>
                              </w:r>
                            </w:hyperlink>
                          </w:p>
                          <w:p w14:paraId="6CAB7F2B" w14:textId="77777777" w:rsidR="00317295" w:rsidRPr="00F3071E" w:rsidRDefault="00317295" w:rsidP="00317295">
                            <w:pPr>
                              <w:pStyle w:val="ListParagraph"/>
                              <w:rPr>
                                <w:rFonts w:ascii="Cambria" w:hAnsi="Cambria"/>
                              </w:rPr>
                            </w:pPr>
                          </w:p>
                          <w:p w14:paraId="0A3A7655" w14:textId="77777777" w:rsidR="00317295" w:rsidRPr="00F3071E" w:rsidRDefault="00317295" w:rsidP="00317295">
                            <w:pPr>
                              <w:rPr>
                                <w:rFonts w:ascii="Cambria" w:hAnsi="Cambria"/>
                                <w:i/>
                              </w:rPr>
                            </w:pPr>
                            <w:r w:rsidRPr="00F3071E">
                              <w:rPr>
                                <w:rFonts w:ascii="Cambria" w:hAnsi="Cambria"/>
                                <w:i/>
                              </w:rPr>
                              <w:t>Supplementary Readings</w:t>
                            </w:r>
                          </w:p>
                          <w:p w14:paraId="7FDA547F" w14:textId="77777777" w:rsidR="00317295" w:rsidRPr="00F3071E" w:rsidRDefault="00317295" w:rsidP="00317295">
                            <w:pPr>
                              <w:pStyle w:val="ListParagraph"/>
                              <w:numPr>
                                <w:ilvl w:val="0"/>
                                <w:numId w:val="6"/>
                              </w:numPr>
                              <w:rPr>
                                <w:rFonts w:ascii="Cambria" w:hAnsi="Cambria"/>
                              </w:rPr>
                            </w:pPr>
                            <w:r w:rsidRPr="00F3071E">
                              <w:rPr>
                                <w:rFonts w:ascii="Cambria" w:hAnsi="Cambria"/>
                              </w:rPr>
                              <w:t xml:space="preserve">Barrett, C.B., </w:t>
                            </w:r>
                            <w:proofErr w:type="spellStart"/>
                            <w:r w:rsidRPr="00F3071E">
                              <w:rPr>
                                <w:rFonts w:ascii="Cambria" w:hAnsi="Cambria"/>
                              </w:rPr>
                              <w:t>Bellemare</w:t>
                            </w:r>
                            <w:proofErr w:type="spellEnd"/>
                            <w:r w:rsidRPr="00F3071E">
                              <w:rPr>
                                <w:rFonts w:ascii="Cambria" w:hAnsi="Cambria"/>
                              </w:rPr>
                              <w:t xml:space="preserve">, M. (2011) “Why price volatility doesn’t matter” </w:t>
                            </w:r>
                            <w:r w:rsidRPr="00F3071E">
                              <w:rPr>
                                <w:rFonts w:ascii="Cambria" w:hAnsi="Cambria"/>
                                <w:i/>
                              </w:rPr>
                              <w:t>Foreign Affairs.</w:t>
                            </w:r>
                            <w:r w:rsidRPr="00F3071E">
                              <w:rPr>
                                <w:rFonts w:ascii="Cambria" w:hAnsi="Cambria"/>
                              </w:rPr>
                              <w:t xml:space="preserve"> July 12. </w:t>
                            </w:r>
                            <w:hyperlink r:id="rId12" w:history="1">
                              <w:r w:rsidRPr="002A18FF">
                                <w:rPr>
                                  <w:rStyle w:val="Hyperlink"/>
                                  <w:rFonts w:ascii="Cambria" w:hAnsi="Cambria"/>
                                </w:rPr>
                                <w:t>http://www.foreignaffairs.com/articles/67981/christopher-b-barrett-and-marc-f-bellemare/why-food-price-volatility-doesnt-matter</w:t>
                              </w:r>
                            </w:hyperlink>
                            <w:r>
                              <w:rPr>
                                <w:rFonts w:ascii="Cambria" w:hAnsi="Cambria"/>
                              </w:rPr>
                              <w:t xml:space="preserve"> </w:t>
                            </w:r>
                          </w:p>
                          <w:p w14:paraId="75E8801F" w14:textId="77777777" w:rsidR="00317295" w:rsidRPr="00F3071E" w:rsidRDefault="00317295" w:rsidP="00317295">
                            <w:pPr>
                              <w:pStyle w:val="ListParagraph"/>
                              <w:numPr>
                                <w:ilvl w:val="0"/>
                                <w:numId w:val="6"/>
                              </w:numPr>
                              <w:rPr>
                                <w:rFonts w:ascii="Cambria" w:hAnsi="Cambria"/>
                              </w:rPr>
                            </w:pPr>
                            <w:proofErr w:type="spellStart"/>
                            <w:r w:rsidRPr="00F3071E">
                              <w:rPr>
                                <w:rFonts w:ascii="Cambria" w:hAnsi="Cambria"/>
                              </w:rPr>
                              <w:t>Dorosh</w:t>
                            </w:r>
                            <w:proofErr w:type="spellEnd"/>
                            <w:r w:rsidRPr="00F3071E">
                              <w:rPr>
                                <w:rFonts w:ascii="Cambria" w:hAnsi="Cambria"/>
                              </w:rPr>
                              <w:t xml:space="preserve">, P., </w:t>
                            </w:r>
                            <w:proofErr w:type="spellStart"/>
                            <w:r w:rsidRPr="00F3071E">
                              <w:rPr>
                                <w:rFonts w:ascii="Cambria" w:hAnsi="Cambria"/>
                              </w:rPr>
                              <w:t>Dradri</w:t>
                            </w:r>
                            <w:proofErr w:type="spellEnd"/>
                            <w:r w:rsidRPr="00F3071E">
                              <w:rPr>
                                <w:rFonts w:ascii="Cambria" w:hAnsi="Cambria"/>
                              </w:rPr>
                              <w:t xml:space="preserve"> S.</w:t>
                            </w:r>
                            <w:proofErr w:type="gramStart"/>
                            <w:r w:rsidRPr="00F3071E">
                              <w:rPr>
                                <w:rFonts w:ascii="Cambria" w:hAnsi="Cambria"/>
                              </w:rPr>
                              <w:t xml:space="preserve">,  </w:t>
                            </w:r>
                            <w:proofErr w:type="spellStart"/>
                            <w:r w:rsidRPr="00F3071E">
                              <w:rPr>
                                <w:rFonts w:ascii="Cambria" w:hAnsi="Cambria"/>
                              </w:rPr>
                              <w:t>Haggblade</w:t>
                            </w:r>
                            <w:proofErr w:type="spellEnd"/>
                            <w:proofErr w:type="gramEnd"/>
                            <w:r w:rsidRPr="00F3071E">
                              <w:rPr>
                                <w:rFonts w:ascii="Cambria" w:hAnsi="Cambria"/>
                              </w:rPr>
                              <w:t xml:space="preserve">, S. (2009) “Regional trade, government policy and food security: Recent evidence from Zambia. Food Policy.” </w:t>
                            </w:r>
                            <w:r w:rsidRPr="0031433E">
                              <w:rPr>
                                <w:rFonts w:ascii="Cambria" w:hAnsi="Cambria"/>
                                <w:i/>
                              </w:rPr>
                              <w:t>Food Policy</w:t>
                            </w:r>
                            <w:r w:rsidRPr="00F3071E">
                              <w:rPr>
                                <w:rFonts w:ascii="Cambria" w:hAnsi="Cambria"/>
                              </w:rPr>
                              <w:t xml:space="preserve"> 34</w:t>
                            </w:r>
                            <w:r>
                              <w:rPr>
                                <w:rFonts w:ascii="Cambria" w:hAnsi="Cambria"/>
                              </w:rPr>
                              <w:t>:</w:t>
                            </w:r>
                            <w:r w:rsidRPr="00F3071E">
                              <w:rPr>
                                <w:rFonts w:ascii="Cambria" w:hAnsi="Cambria"/>
                              </w:rPr>
                              <w:t xml:space="preserve"> 350–366.</w:t>
                            </w:r>
                          </w:p>
                          <w:p w14:paraId="73882C5B" w14:textId="77777777" w:rsidR="00317295" w:rsidRPr="00F3071E" w:rsidRDefault="00317295" w:rsidP="00317295">
                            <w:pPr>
                              <w:pStyle w:val="ListParagraph"/>
                              <w:rPr>
                                <w:rFonts w:ascii="Cambria" w:hAnsi="Cambria"/>
                              </w:rPr>
                            </w:pPr>
                            <w:hyperlink r:id="rId13" w:history="1">
                              <w:proofErr w:type="gramStart"/>
                              <w:r w:rsidRPr="00F3071E">
                                <w:rPr>
                                  <w:rStyle w:val="Hyperlink"/>
                                  <w:rFonts w:ascii="Cambria" w:hAnsi="Cambria"/>
                                </w:rPr>
                                <w:t>doi:10.1016</w:t>
                              </w:r>
                              <w:proofErr w:type="gramEnd"/>
                              <w:r w:rsidRPr="00F3071E">
                                <w:rPr>
                                  <w:rStyle w:val="Hyperlink"/>
                                  <w:rFonts w:ascii="Cambria" w:hAnsi="Cambria"/>
                                </w:rPr>
                                <w:t>/j.foodpol.2009.02.001</w:t>
                              </w:r>
                            </w:hyperlink>
                          </w:p>
                          <w:p w14:paraId="4A1A8C14" w14:textId="77777777" w:rsidR="00317295" w:rsidRPr="00F3071E" w:rsidRDefault="00317295" w:rsidP="00317295">
                            <w:pPr>
                              <w:pStyle w:val="ListParagraph"/>
                              <w:rPr>
                                <w:rFonts w:ascii="Cambria" w:hAnsi="Cambria"/>
                              </w:rPr>
                            </w:pPr>
                            <w:hyperlink r:id="rId14" w:history="1">
                              <w:r w:rsidRPr="00F3071E">
                                <w:rPr>
                                  <w:rStyle w:val="Hyperlink"/>
                                  <w:rFonts w:ascii="Cambria" w:hAnsi="Cambria"/>
                                </w:rPr>
                                <w:t>http://www.sciencedirect.com/science/article/pii/S0306919209000189</w:t>
                              </w:r>
                            </w:hyperlink>
                          </w:p>
                          <w:p w14:paraId="777CC031" w14:textId="77777777" w:rsidR="00317295" w:rsidRPr="00F3071E" w:rsidRDefault="00317295" w:rsidP="00317295">
                            <w:pPr>
                              <w:pStyle w:val="ListParagraph"/>
                              <w:numPr>
                                <w:ilvl w:val="0"/>
                                <w:numId w:val="6"/>
                              </w:numPr>
                              <w:rPr>
                                <w:rFonts w:ascii="Cambria" w:hAnsi="Cambria"/>
                              </w:rPr>
                            </w:pPr>
                            <w:proofErr w:type="spellStart"/>
                            <w:r w:rsidRPr="00F3071E">
                              <w:rPr>
                                <w:rFonts w:ascii="Cambria" w:hAnsi="Cambria"/>
                              </w:rPr>
                              <w:t>Timmer</w:t>
                            </w:r>
                            <w:proofErr w:type="spellEnd"/>
                            <w:r w:rsidRPr="00F3071E">
                              <w:rPr>
                                <w:rFonts w:ascii="Cambria" w:hAnsi="Cambria"/>
                              </w:rPr>
                              <w:t>, P. (2008) Causes of High Food Prices. Asian Development Bank.</w:t>
                            </w:r>
                          </w:p>
                          <w:p w14:paraId="07E60B58" w14:textId="77777777" w:rsidR="00317295" w:rsidRPr="00F3071E" w:rsidRDefault="00317295" w:rsidP="00317295">
                            <w:pPr>
                              <w:pStyle w:val="ListParagraph"/>
                              <w:rPr>
                                <w:rFonts w:ascii="Cambria" w:hAnsi="Cambria"/>
                              </w:rPr>
                            </w:pPr>
                            <w:hyperlink r:id="rId15" w:history="1">
                              <w:r w:rsidRPr="00F3071E">
                                <w:rPr>
                                  <w:rStyle w:val="Hyperlink"/>
                                  <w:rFonts w:ascii="Cambria" w:hAnsi="Cambria"/>
                                </w:rPr>
                                <w:t>http://www.adb.org/documents/Working-Papers/2008/Economics-WP128.pdf</w:t>
                              </w:r>
                            </w:hyperlink>
                          </w:p>
                          <w:p w14:paraId="27C47214" w14:textId="77777777" w:rsidR="00E1618A" w:rsidRPr="003F095A" w:rsidRDefault="00E1618A" w:rsidP="00317295">
                            <w:pPr>
                              <w:rPr>
                                <w:rFonts w:ascii="Cambria" w:hAnsi="Cambria"/>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0.5pt;margin-top:45.6pt;width:437.6pt;height:4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" filled="f" strokecolor="black [3213]">
                <v:textbox inset=",7.2pt,,7.2pt">
                  <w:txbxContent>
                    <w:p w14:paraId="65136048" w14:textId="69F982E2" w:rsidR="00E1618A" w:rsidRPr="00861E7A" w:rsidRDefault="00E1618A" w:rsidP="003F095A">
                      <w:pPr>
                        <w:pStyle w:val="ListParagraph"/>
                        <w:ind w:left="0"/>
                        <w:rPr>
                          <w:rFonts w:ascii="Cambria" w:hAnsi="Cambria"/>
                          <w:u w:val="single"/>
                        </w:rPr>
                      </w:pPr>
                      <w:bookmarkStart w:id="1" w:name="_GoBack"/>
                      <w:r>
                        <w:rPr>
                          <w:rFonts w:ascii="Cambria" w:hAnsi="Cambria"/>
                          <w:u w:val="single"/>
                        </w:rPr>
                        <w:t>Food policies</w:t>
                      </w:r>
                    </w:p>
                    <w:p w14:paraId="668B1372" w14:textId="66D9ACFB" w:rsidR="00E1618A" w:rsidRDefault="00E1618A" w:rsidP="003F095A">
                      <w:pPr>
                        <w:pStyle w:val="ListParagraph"/>
                        <w:numPr>
                          <w:ilvl w:val="0"/>
                          <w:numId w:val="5"/>
                        </w:numPr>
                        <w:rPr>
                          <w:rFonts w:ascii="Cambria" w:hAnsi="Cambria"/>
                        </w:rPr>
                      </w:pPr>
                      <w:r>
                        <w:rPr>
                          <w:rFonts w:ascii="Cambria" w:hAnsi="Cambria"/>
                        </w:rPr>
                        <w:t>Food price dilemma and food policy definition</w:t>
                      </w:r>
                    </w:p>
                    <w:p w14:paraId="5DDF5B45" w14:textId="3A28942D" w:rsidR="00E1618A" w:rsidRDefault="00E1618A" w:rsidP="003F095A">
                      <w:pPr>
                        <w:pStyle w:val="ListParagraph"/>
                        <w:numPr>
                          <w:ilvl w:val="0"/>
                          <w:numId w:val="5"/>
                        </w:numPr>
                        <w:rPr>
                          <w:rFonts w:ascii="Cambria" w:hAnsi="Cambria"/>
                        </w:rPr>
                      </w:pPr>
                      <w:r>
                        <w:rPr>
                          <w:rFonts w:ascii="Cambria" w:hAnsi="Cambria"/>
                        </w:rPr>
                        <w:t xml:space="preserve">Categories of policies </w:t>
                      </w:r>
                    </w:p>
                    <w:p w14:paraId="33619860" w14:textId="2213DAEF" w:rsidR="00E1618A" w:rsidRPr="004F2E08" w:rsidRDefault="00E1618A" w:rsidP="004F2E08">
                      <w:pPr>
                        <w:pStyle w:val="ListParagraph"/>
                        <w:numPr>
                          <w:ilvl w:val="0"/>
                          <w:numId w:val="5"/>
                        </w:numPr>
                        <w:rPr>
                          <w:rFonts w:ascii="Cambria" w:hAnsi="Cambria"/>
                        </w:rPr>
                      </w:pPr>
                      <w:r>
                        <w:rPr>
                          <w:rFonts w:ascii="Cambria" w:hAnsi="Cambria"/>
                        </w:rPr>
                        <w:t>Examples</w:t>
                      </w:r>
                    </w:p>
                    <w:p w14:paraId="421F7C22" w14:textId="02E58F86" w:rsidR="00E1618A" w:rsidRDefault="00E1618A" w:rsidP="003F095A">
                      <w:pPr>
                        <w:pStyle w:val="ListParagraph"/>
                        <w:numPr>
                          <w:ilvl w:val="0"/>
                          <w:numId w:val="5"/>
                        </w:numPr>
                        <w:rPr>
                          <w:rFonts w:ascii="Cambria" w:hAnsi="Cambria"/>
                        </w:rPr>
                      </w:pPr>
                      <w:r>
                        <w:rPr>
                          <w:rFonts w:ascii="Cambria" w:hAnsi="Cambria"/>
                        </w:rPr>
                        <w:t>Sources of policy risk</w:t>
                      </w:r>
                    </w:p>
                    <w:p w14:paraId="0DE770F8" w14:textId="3BBFA859" w:rsidR="00E1618A" w:rsidRPr="00150271" w:rsidRDefault="00E1618A" w:rsidP="003F095A">
                      <w:pPr>
                        <w:pStyle w:val="ListParagraph"/>
                        <w:numPr>
                          <w:ilvl w:val="0"/>
                          <w:numId w:val="5"/>
                        </w:numPr>
                        <w:rPr>
                          <w:rFonts w:ascii="Cambria" w:hAnsi="Cambria"/>
                        </w:rPr>
                      </w:pPr>
                      <w:r>
                        <w:rPr>
                          <w:rFonts w:ascii="Cambria" w:hAnsi="Cambria"/>
                        </w:rPr>
                        <w:t>Sources of information about policies</w:t>
                      </w:r>
                    </w:p>
                    <w:p w14:paraId="4CE9F559" w14:textId="77777777" w:rsidR="00E1618A" w:rsidRPr="00150271" w:rsidRDefault="00E1618A" w:rsidP="003F095A">
                      <w:pPr>
                        <w:rPr>
                          <w:rFonts w:ascii="Cambria" w:hAnsi="Cambria"/>
                        </w:rPr>
                      </w:pPr>
                    </w:p>
                    <w:p w14:paraId="68086B16" w14:textId="77777777" w:rsidR="00317295" w:rsidRPr="00F3071E" w:rsidRDefault="00317295" w:rsidP="00317295">
                      <w:pPr>
                        <w:rPr>
                          <w:rFonts w:ascii="Cambria" w:hAnsi="Cambria"/>
                          <w:i/>
                        </w:rPr>
                      </w:pPr>
                      <w:r w:rsidRPr="00F3071E">
                        <w:rPr>
                          <w:rFonts w:ascii="Cambria" w:hAnsi="Cambria"/>
                          <w:i/>
                        </w:rPr>
                        <w:t>Readings</w:t>
                      </w:r>
                    </w:p>
                    <w:p w14:paraId="26011FF5" w14:textId="77777777" w:rsidR="00317295" w:rsidRPr="00F3071E" w:rsidRDefault="00317295" w:rsidP="00317295">
                      <w:pPr>
                        <w:pStyle w:val="ListParagraph"/>
                        <w:numPr>
                          <w:ilvl w:val="0"/>
                          <w:numId w:val="6"/>
                        </w:numPr>
                        <w:rPr>
                          <w:rFonts w:ascii="Cambria" w:hAnsi="Cambria"/>
                        </w:rPr>
                      </w:pPr>
                      <w:r w:rsidRPr="00F3071E">
                        <w:rPr>
                          <w:rFonts w:ascii="Cambria" w:hAnsi="Cambria"/>
                        </w:rPr>
                        <w:t xml:space="preserve">FEWS NET (2008) “Market Assessment and Analysis: Learners Notes. Lesson 3: Market Indicators: Annex 3: Policy impacts on markets and population” FAO. P. 24. </w:t>
                      </w:r>
                      <w:r>
                        <w:rPr>
                          <w:rFonts w:ascii="Cambria" w:hAnsi="Cambria"/>
                          <w:i/>
                        </w:rPr>
                        <w:t xml:space="preserve"> </w:t>
                      </w:r>
                      <w:hyperlink r:id="rId16" w:history="1">
                        <w:r>
                          <w:rPr>
                            <w:rStyle w:val="Hyperlink"/>
                          </w:rPr>
                          <w:t>http://www.fews.net/docs/Publications/Market%20Assessment%20and%20Analysis%20Training%20Module.pdf</w:t>
                        </w:r>
                      </w:hyperlink>
                    </w:p>
                    <w:p w14:paraId="1433C23D" w14:textId="77777777" w:rsidR="00317295" w:rsidRPr="00F3071E" w:rsidRDefault="00317295" w:rsidP="00317295">
                      <w:pPr>
                        <w:pStyle w:val="ListParagraph"/>
                        <w:numPr>
                          <w:ilvl w:val="0"/>
                          <w:numId w:val="6"/>
                        </w:numPr>
                        <w:rPr>
                          <w:rFonts w:ascii="Cambria" w:hAnsi="Cambria"/>
                        </w:rPr>
                      </w:pPr>
                      <w:proofErr w:type="spellStart"/>
                      <w:r w:rsidRPr="00F3071E">
                        <w:rPr>
                          <w:rFonts w:ascii="Cambria" w:hAnsi="Cambria"/>
                        </w:rPr>
                        <w:t>Dorosh</w:t>
                      </w:r>
                      <w:proofErr w:type="spellEnd"/>
                      <w:r w:rsidRPr="00F3071E">
                        <w:rPr>
                          <w:rFonts w:ascii="Cambria" w:hAnsi="Cambria"/>
                        </w:rPr>
                        <w:t xml:space="preserve">, Paul A., 2001. “Trade Liberalization and National Food Security: Rice Trade between Bangladesh and India.” </w:t>
                      </w:r>
                      <w:r w:rsidRPr="0031433E">
                        <w:rPr>
                          <w:rFonts w:ascii="Cambria" w:hAnsi="Cambria"/>
                          <w:i/>
                        </w:rPr>
                        <w:t>World Development</w:t>
                      </w:r>
                      <w:r w:rsidRPr="00F3071E">
                        <w:rPr>
                          <w:rFonts w:ascii="Cambria" w:hAnsi="Cambria"/>
                        </w:rPr>
                        <w:t xml:space="preserve"> 29 (4) pp. 673-689.</w:t>
                      </w:r>
                    </w:p>
                    <w:p w14:paraId="20AF5589" w14:textId="77777777" w:rsidR="00317295" w:rsidRPr="00F3071E" w:rsidRDefault="00317295" w:rsidP="00317295">
                      <w:pPr>
                        <w:pStyle w:val="ListParagraph"/>
                        <w:rPr>
                          <w:rFonts w:ascii="Cambria" w:hAnsi="Cambria"/>
                        </w:rPr>
                      </w:pPr>
                      <w:hyperlink r:id="rId17" w:history="1">
                        <w:proofErr w:type="gramStart"/>
                        <w:r w:rsidRPr="00F3071E">
                          <w:rPr>
                            <w:rStyle w:val="Hyperlink"/>
                            <w:rFonts w:ascii="Cambria" w:hAnsi="Cambria"/>
                          </w:rPr>
                          <w:t>doi:10.1016</w:t>
                        </w:r>
                        <w:proofErr w:type="gramEnd"/>
                        <w:r w:rsidRPr="00F3071E">
                          <w:rPr>
                            <w:rStyle w:val="Hyperlink"/>
                            <w:rFonts w:ascii="Cambria" w:hAnsi="Cambria"/>
                          </w:rPr>
                          <w:t>/S0305-750X(00)00121-2</w:t>
                        </w:r>
                      </w:hyperlink>
                    </w:p>
                    <w:p w14:paraId="0171252A" w14:textId="77777777" w:rsidR="00317295" w:rsidRPr="00F3071E" w:rsidRDefault="00317295" w:rsidP="00317295">
                      <w:pPr>
                        <w:pStyle w:val="ListParagraph"/>
                        <w:rPr>
                          <w:rFonts w:ascii="Cambria" w:hAnsi="Cambria"/>
                        </w:rPr>
                      </w:pPr>
                      <w:hyperlink r:id="rId18" w:history="1">
                        <w:r w:rsidRPr="00F3071E">
                          <w:rPr>
                            <w:rStyle w:val="Hyperlink"/>
                            <w:rFonts w:ascii="Cambria" w:hAnsi="Cambria"/>
                          </w:rPr>
                          <w:t>http://www.sciencedirect.com/science/article/pii/S0305750X00001212</w:t>
                        </w:r>
                      </w:hyperlink>
                    </w:p>
                    <w:p w14:paraId="6CAB7F2B" w14:textId="77777777" w:rsidR="00317295" w:rsidRPr="00F3071E" w:rsidRDefault="00317295" w:rsidP="00317295">
                      <w:pPr>
                        <w:pStyle w:val="ListParagraph"/>
                        <w:rPr>
                          <w:rFonts w:ascii="Cambria" w:hAnsi="Cambria"/>
                        </w:rPr>
                      </w:pPr>
                    </w:p>
                    <w:p w14:paraId="0A3A7655" w14:textId="77777777" w:rsidR="00317295" w:rsidRPr="00F3071E" w:rsidRDefault="00317295" w:rsidP="00317295">
                      <w:pPr>
                        <w:rPr>
                          <w:rFonts w:ascii="Cambria" w:hAnsi="Cambria"/>
                          <w:i/>
                        </w:rPr>
                      </w:pPr>
                      <w:r w:rsidRPr="00F3071E">
                        <w:rPr>
                          <w:rFonts w:ascii="Cambria" w:hAnsi="Cambria"/>
                          <w:i/>
                        </w:rPr>
                        <w:t>Supplementary Readings</w:t>
                      </w:r>
                    </w:p>
                    <w:p w14:paraId="7FDA547F" w14:textId="77777777" w:rsidR="00317295" w:rsidRPr="00F3071E" w:rsidRDefault="00317295" w:rsidP="00317295">
                      <w:pPr>
                        <w:pStyle w:val="ListParagraph"/>
                        <w:numPr>
                          <w:ilvl w:val="0"/>
                          <w:numId w:val="6"/>
                        </w:numPr>
                        <w:rPr>
                          <w:rFonts w:ascii="Cambria" w:hAnsi="Cambria"/>
                        </w:rPr>
                      </w:pPr>
                      <w:r w:rsidRPr="00F3071E">
                        <w:rPr>
                          <w:rFonts w:ascii="Cambria" w:hAnsi="Cambria"/>
                        </w:rPr>
                        <w:t xml:space="preserve">Barrett, C.B., </w:t>
                      </w:r>
                      <w:proofErr w:type="spellStart"/>
                      <w:r w:rsidRPr="00F3071E">
                        <w:rPr>
                          <w:rFonts w:ascii="Cambria" w:hAnsi="Cambria"/>
                        </w:rPr>
                        <w:t>Bellemare</w:t>
                      </w:r>
                      <w:proofErr w:type="spellEnd"/>
                      <w:r w:rsidRPr="00F3071E">
                        <w:rPr>
                          <w:rFonts w:ascii="Cambria" w:hAnsi="Cambria"/>
                        </w:rPr>
                        <w:t xml:space="preserve">, M. (2011) “Why price volatility doesn’t matter” </w:t>
                      </w:r>
                      <w:r w:rsidRPr="00F3071E">
                        <w:rPr>
                          <w:rFonts w:ascii="Cambria" w:hAnsi="Cambria"/>
                          <w:i/>
                        </w:rPr>
                        <w:t>Foreign Affairs.</w:t>
                      </w:r>
                      <w:r w:rsidRPr="00F3071E">
                        <w:rPr>
                          <w:rFonts w:ascii="Cambria" w:hAnsi="Cambria"/>
                        </w:rPr>
                        <w:t xml:space="preserve"> July 12. </w:t>
                      </w:r>
                      <w:hyperlink r:id="rId19" w:history="1">
                        <w:r w:rsidRPr="002A18FF">
                          <w:rPr>
                            <w:rStyle w:val="Hyperlink"/>
                            <w:rFonts w:ascii="Cambria" w:hAnsi="Cambria"/>
                          </w:rPr>
                          <w:t>http://www.foreignaffairs.com/articles/67981/christopher-b-barrett-and-marc-f-bellemare/why-food-price-volatility-doesnt-matter</w:t>
                        </w:r>
                      </w:hyperlink>
                      <w:r>
                        <w:rPr>
                          <w:rFonts w:ascii="Cambria" w:hAnsi="Cambria"/>
                        </w:rPr>
                        <w:t xml:space="preserve"> </w:t>
                      </w:r>
                    </w:p>
                    <w:p w14:paraId="75E8801F" w14:textId="77777777" w:rsidR="00317295" w:rsidRPr="00F3071E" w:rsidRDefault="00317295" w:rsidP="00317295">
                      <w:pPr>
                        <w:pStyle w:val="ListParagraph"/>
                        <w:numPr>
                          <w:ilvl w:val="0"/>
                          <w:numId w:val="6"/>
                        </w:numPr>
                        <w:rPr>
                          <w:rFonts w:ascii="Cambria" w:hAnsi="Cambria"/>
                        </w:rPr>
                      </w:pPr>
                      <w:proofErr w:type="spellStart"/>
                      <w:r w:rsidRPr="00F3071E">
                        <w:rPr>
                          <w:rFonts w:ascii="Cambria" w:hAnsi="Cambria"/>
                        </w:rPr>
                        <w:t>Dorosh</w:t>
                      </w:r>
                      <w:proofErr w:type="spellEnd"/>
                      <w:r w:rsidRPr="00F3071E">
                        <w:rPr>
                          <w:rFonts w:ascii="Cambria" w:hAnsi="Cambria"/>
                        </w:rPr>
                        <w:t xml:space="preserve">, P., </w:t>
                      </w:r>
                      <w:proofErr w:type="spellStart"/>
                      <w:r w:rsidRPr="00F3071E">
                        <w:rPr>
                          <w:rFonts w:ascii="Cambria" w:hAnsi="Cambria"/>
                        </w:rPr>
                        <w:t>Dradri</w:t>
                      </w:r>
                      <w:proofErr w:type="spellEnd"/>
                      <w:r w:rsidRPr="00F3071E">
                        <w:rPr>
                          <w:rFonts w:ascii="Cambria" w:hAnsi="Cambria"/>
                        </w:rPr>
                        <w:t xml:space="preserve"> S.</w:t>
                      </w:r>
                      <w:proofErr w:type="gramStart"/>
                      <w:r w:rsidRPr="00F3071E">
                        <w:rPr>
                          <w:rFonts w:ascii="Cambria" w:hAnsi="Cambria"/>
                        </w:rPr>
                        <w:t xml:space="preserve">,  </w:t>
                      </w:r>
                      <w:proofErr w:type="spellStart"/>
                      <w:r w:rsidRPr="00F3071E">
                        <w:rPr>
                          <w:rFonts w:ascii="Cambria" w:hAnsi="Cambria"/>
                        </w:rPr>
                        <w:t>Haggblade</w:t>
                      </w:r>
                      <w:proofErr w:type="spellEnd"/>
                      <w:proofErr w:type="gramEnd"/>
                      <w:r w:rsidRPr="00F3071E">
                        <w:rPr>
                          <w:rFonts w:ascii="Cambria" w:hAnsi="Cambria"/>
                        </w:rPr>
                        <w:t xml:space="preserve">, S. (2009) “Regional trade, government policy and food security: Recent evidence from Zambia. Food Policy.” </w:t>
                      </w:r>
                      <w:r w:rsidRPr="0031433E">
                        <w:rPr>
                          <w:rFonts w:ascii="Cambria" w:hAnsi="Cambria"/>
                          <w:i/>
                        </w:rPr>
                        <w:t>Food Policy</w:t>
                      </w:r>
                      <w:r w:rsidRPr="00F3071E">
                        <w:rPr>
                          <w:rFonts w:ascii="Cambria" w:hAnsi="Cambria"/>
                        </w:rPr>
                        <w:t xml:space="preserve"> 34</w:t>
                      </w:r>
                      <w:r>
                        <w:rPr>
                          <w:rFonts w:ascii="Cambria" w:hAnsi="Cambria"/>
                        </w:rPr>
                        <w:t>:</w:t>
                      </w:r>
                      <w:r w:rsidRPr="00F3071E">
                        <w:rPr>
                          <w:rFonts w:ascii="Cambria" w:hAnsi="Cambria"/>
                        </w:rPr>
                        <w:t xml:space="preserve"> 350–366.</w:t>
                      </w:r>
                    </w:p>
                    <w:p w14:paraId="73882C5B" w14:textId="77777777" w:rsidR="00317295" w:rsidRPr="00F3071E" w:rsidRDefault="00317295" w:rsidP="00317295">
                      <w:pPr>
                        <w:pStyle w:val="ListParagraph"/>
                        <w:rPr>
                          <w:rFonts w:ascii="Cambria" w:hAnsi="Cambria"/>
                        </w:rPr>
                      </w:pPr>
                      <w:hyperlink r:id="rId20" w:history="1">
                        <w:proofErr w:type="gramStart"/>
                        <w:r w:rsidRPr="00F3071E">
                          <w:rPr>
                            <w:rStyle w:val="Hyperlink"/>
                            <w:rFonts w:ascii="Cambria" w:hAnsi="Cambria"/>
                          </w:rPr>
                          <w:t>doi:10.1016</w:t>
                        </w:r>
                        <w:proofErr w:type="gramEnd"/>
                        <w:r w:rsidRPr="00F3071E">
                          <w:rPr>
                            <w:rStyle w:val="Hyperlink"/>
                            <w:rFonts w:ascii="Cambria" w:hAnsi="Cambria"/>
                          </w:rPr>
                          <w:t>/j.foodpol.2009.02.001</w:t>
                        </w:r>
                      </w:hyperlink>
                    </w:p>
                    <w:p w14:paraId="4A1A8C14" w14:textId="77777777" w:rsidR="00317295" w:rsidRPr="00F3071E" w:rsidRDefault="00317295" w:rsidP="00317295">
                      <w:pPr>
                        <w:pStyle w:val="ListParagraph"/>
                        <w:rPr>
                          <w:rFonts w:ascii="Cambria" w:hAnsi="Cambria"/>
                        </w:rPr>
                      </w:pPr>
                      <w:hyperlink r:id="rId21" w:history="1">
                        <w:r w:rsidRPr="00F3071E">
                          <w:rPr>
                            <w:rStyle w:val="Hyperlink"/>
                            <w:rFonts w:ascii="Cambria" w:hAnsi="Cambria"/>
                          </w:rPr>
                          <w:t>http://www.sciencedirect.com/science/article/pii/S0306919209000189</w:t>
                        </w:r>
                      </w:hyperlink>
                    </w:p>
                    <w:p w14:paraId="777CC031" w14:textId="77777777" w:rsidR="00317295" w:rsidRPr="00F3071E" w:rsidRDefault="00317295" w:rsidP="00317295">
                      <w:pPr>
                        <w:pStyle w:val="ListParagraph"/>
                        <w:numPr>
                          <w:ilvl w:val="0"/>
                          <w:numId w:val="6"/>
                        </w:numPr>
                        <w:rPr>
                          <w:rFonts w:ascii="Cambria" w:hAnsi="Cambria"/>
                        </w:rPr>
                      </w:pPr>
                      <w:proofErr w:type="spellStart"/>
                      <w:r w:rsidRPr="00F3071E">
                        <w:rPr>
                          <w:rFonts w:ascii="Cambria" w:hAnsi="Cambria"/>
                        </w:rPr>
                        <w:t>Timmer</w:t>
                      </w:r>
                      <w:proofErr w:type="spellEnd"/>
                      <w:r w:rsidRPr="00F3071E">
                        <w:rPr>
                          <w:rFonts w:ascii="Cambria" w:hAnsi="Cambria"/>
                        </w:rPr>
                        <w:t>, P. (2008) Causes of High Food Prices. Asian Development Bank.</w:t>
                      </w:r>
                    </w:p>
                    <w:p w14:paraId="07E60B58" w14:textId="77777777" w:rsidR="00317295" w:rsidRPr="00F3071E" w:rsidRDefault="00317295" w:rsidP="00317295">
                      <w:pPr>
                        <w:pStyle w:val="ListParagraph"/>
                        <w:rPr>
                          <w:rFonts w:ascii="Cambria" w:hAnsi="Cambria"/>
                        </w:rPr>
                      </w:pPr>
                      <w:hyperlink r:id="rId22" w:history="1">
                        <w:r w:rsidRPr="00F3071E">
                          <w:rPr>
                            <w:rStyle w:val="Hyperlink"/>
                            <w:rFonts w:ascii="Cambria" w:hAnsi="Cambria"/>
                          </w:rPr>
                          <w:t>http://www.adb.org/documents/Working-Papers/2008/Economics-WP128.pdf</w:t>
                        </w:r>
                      </w:hyperlink>
                    </w:p>
                    <w:p w14:paraId="27C47214" w14:textId="77777777" w:rsidR="00E1618A" w:rsidRPr="003F095A" w:rsidRDefault="00E1618A" w:rsidP="00317295">
                      <w:pPr>
                        <w:rPr>
                          <w:rFonts w:ascii="Cambria" w:hAnsi="Cambria"/>
                        </w:rPr>
                      </w:pPr>
                    </w:p>
                    <w:bookmarkEnd w:id="1"/>
                  </w:txbxContent>
                </v:textbox>
                <w10:wrap type="tight"/>
              </v:shape>
            </w:pict>
          </mc:Fallback>
        </mc:AlternateContent>
      </w:r>
      <w:r w:rsidR="004F2E08">
        <w:t>Lecture 4</w:t>
      </w:r>
      <w:r w:rsidR="00861E7A" w:rsidRPr="00861E7A">
        <w:t xml:space="preserve">: </w:t>
      </w:r>
      <w:r w:rsidR="00FE7D87">
        <w:t>Food policies</w:t>
      </w:r>
    </w:p>
    <w:p w14:paraId="0DB22B82" w14:textId="77777777" w:rsidR="00B508EF" w:rsidRPr="003F095A" w:rsidRDefault="00B508EF" w:rsidP="003F095A">
      <w:pPr>
        <w:pStyle w:val="ListParagraph"/>
        <w:rPr>
          <w:rFonts w:ascii="Cambria" w:hAnsi="Cambria"/>
        </w:rPr>
      </w:pPr>
    </w:p>
    <w:p w14:paraId="6519C7DF" w14:textId="627577B4" w:rsidR="00D67B37" w:rsidRDefault="00D67B37" w:rsidP="00F215F4">
      <w:r>
        <w:t xml:space="preserve">Before we identify the commodities to examine, we examine supply responsiveness tools and approaches. </w:t>
      </w:r>
      <w:r w:rsidR="00E1618A">
        <w:t>Analysis of f</w:t>
      </w:r>
      <w:r>
        <w:t xml:space="preserve">ood aid policies, spatial and temporal price </w:t>
      </w:r>
      <w:r w:rsidR="00E1618A">
        <w:t>patterns</w:t>
      </w:r>
      <w:r>
        <w:t>, import parity prices, and food balance sheets provide</w:t>
      </w:r>
      <w:r w:rsidR="00E1618A">
        <w:t>s</w:t>
      </w:r>
      <w:r>
        <w:t xml:space="preserve"> an overall picture of traders’ ability to increase supply if demand increases due to cash or voucher transfers, whether prices are expected to increase, and where to find adequate supply for local </w:t>
      </w:r>
      <w:r w:rsidR="003A1B97">
        <w:t xml:space="preserve">or regional </w:t>
      </w:r>
      <w:r>
        <w:t>procurement.</w:t>
      </w:r>
    </w:p>
    <w:p w14:paraId="15767E73" w14:textId="77777777" w:rsidR="00D67B37" w:rsidRDefault="00D67B37" w:rsidP="00F215F4"/>
    <w:p w14:paraId="56A260DF" w14:textId="1608522B" w:rsidR="00E26E7F" w:rsidRPr="0061455C" w:rsidRDefault="0061455C" w:rsidP="00F215F4">
      <w:pPr>
        <w:rPr>
          <w:szCs w:val="20"/>
        </w:rPr>
      </w:pPr>
      <w:r>
        <w:t>A variety of external factors, such as policies, weather,</w:t>
      </w:r>
      <w:r w:rsidR="00D05210">
        <w:t xml:space="preserve"> infrastructure,</w:t>
      </w:r>
      <w:r>
        <w:t xml:space="preserve"> crop diseases, fertilizer costs, can contribute to food price formation.  In what follows, we focus on policies affecting food markets (i.e., behaviors of producers, consumers, and traders) at the international, regional, national and local levels. </w:t>
      </w:r>
    </w:p>
    <w:p w14:paraId="782FFEEA" w14:textId="77777777" w:rsidR="0061455C" w:rsidRDefault="0061455C" w:rsidP="00931A55"/>
    <w:p w14:paraId="07278DAF" w14:textId="7CA62C9B" w:rsidR="00885D47" w:rsidRPr="00931A55" w:rsidRDefault="007B6A20" w:rsidP="00931A55">
      <w:pPr>
        <w:rPr>
          <w:b/>
        </w:rPr>
      </w:pPr>
      <w:r>
        <w:rPr>
          <w:b/>
        </w:rPr>
        <w:t>F</w:t>
      </w:r>
      <w:r w:rsidR="00B14186">
        <w:rPr>
          <w:b/>
        </w:rPr>
        <w:t>ood price dilemma and food policy definition</w:t>
      </w:r>
    </w:p>
    <w:p w14:paraId="451C2E63" w14:textId="4F7E12E0" w:rsidR="00F03C8C" w:rsidRDefault="00F03C8C" w:rsidP="00885D47">
      <w:pPr>
        <w:rPr>
          <w:szCs w:val="20"/>
        </w:rPr>
      </w:pPr>
      <w:r>
        <w:rPr>
          <w:szCs w:val="20"/>
        </w:rPr>
        <w:t xml:space="preserve">Governments face what </w:t>
      </w:r>
      <w:proofErr w:type="spellStart"/>
      <w:r>
        <w:rPr>
          <w:szCs w:val="20"/>
        </w:rPr>
        <w:t>Timmer</w:t>
      </w:r>
      <w:proofErr w:type="spellEnd"/>
      <w:r>
        <w:rPr>
          <w:szCs w:val="20"/>
        </w:rPr>
        <w:t xml:space="preserve"> et al. (1983) refer to as the “food</w:t>
      </w:r>
      <w:r w:rsidR="00E1618A">
        <w:rPr>
          <w:szCs w:val="20"/>
        </w:rPr>
        <w:t xml:space="preserve"> </w:t>
      </w:r>
      <w:r>
        <w:rPr>
          <w:szCs w:val="20"/>
        </w:rPr>
        <w:t xml:space="preserve">price dilemma.” Producers want higher food prices, while consumers want lower food prices. </w:t>
      </w:r>
      <w:r w:rsidR="00D950F7">
        <w:rPr>
          <w:szCs w:val="20"/>
        </w:rPr>
        <w:t>Governments seeking to accommodate both parties can try to narrow the gap between what producers earn and what consumers pay through two mechanisms. First, governments can seek to improve market efficiency, by reducing transportation and infrastructure costs, improving storage, or decreasing other transactions costs. Second, governments can use policy levers in an effort to change prices or supply and demand.</w:t>
      </w:r>
      <w:r w:rsidR="00FC1426">
        <w:rPr>
          <w:szCs w:val="20"/>
        </w:rPr>
        <w:t xml:space="preserve"> </w:t>
      </w:r>
      <w:r w:rsidR="00D05210">
        <w:rPr>
          <w:szCs w:val="20"/>
        </w:rPr>
        <w:t>F</w:t>
      </w:r>
      <w:r w:rsidR="00D05210">
        <w:t xml:space="preserve">ood policies influence trader, consumer, and producer decisions and behaviors. Because policies can shape market participants’ incentives, they may render some interventions less effective or more costly than others.  </w:t>
      </w:r>
      <w:r w:rsidR="00FC1426">
        <w:rPr>
          <w:szCs w:val="20"/>
        </w:rPr>
        <w:t>Using policy instruments tends to be faster and governments may regularly change policies.</w:t>
      </w:r>
    </w:p>
    <w:p w14:paraId="0692B451" w14:textId="77777777" w:rsidR="00F03C8C" w:rsidRDefault="00F03C8C" w:rsidP="00885D47"/>
    <w:p w14:paraId="413D2CC7" w14:textId="10C1AB27" w:rsidR="00596BDB" w:rsidRDefault="002E12A8" w:rsidP="00885D47">
      <w:r>
        <w:t>Policies can be formal (i.e., governmental rule or regulation) or informal (i.e., non-governmental authority’s rules or government</w:t>
      </w:r>
      <w:r w:rsidR="00A428C6">
        <w:t xml:space="preserve">al official requesting bribes). </w:t>
      </w:r>
      <w:r w:rsidR="0061455C">
        <w:rPr>
          <w:szCs w:val="20"/>
        </w:rPr>
        <w:t>P</w:t>
      </w:r>
      <w:r w:rsidR="008E570E">
        <w:rPr>
          <w:szCs w:val="20"/>
        </w:rPr>
        <w:t>ractices and policies can</w:t>
      </w:r>
      <w:r w:rsidR="00132D81">
        <w:rPr>
          <w:szCs w:val="20"/>
        </w:rPr>
        <w:t xml:space="preserve"> change both the absolute and relative pricing of </w:t>
      </w:r>
      <w:r w:rsidR="00624EDE">
        <w:rPr>
          <w:szCs w:val="20"/>
        </w:rPr>
        <w:t>food</w:t>
      </w:r>
      <w:r w:rsidR="00BF1DAA">
        <w:rPr>
          <w:szCs w:val="20"/>
        </w:rPr>
        <w:t xml:space="preserve"> as well as </w:t>
      </w:r>
      <w:r w:rsidR="0061455C">
        <w:rPr>
          <w:szCs w:val="20"/>
        </w:rPr>
        <w:t xml:space="preserve">the </w:t>
      </w:r>
      <w:r w:rsidR="0061455C" w:rsidRPr="000467D8">
        <w:rPr>
          <w:szCs w:val="20"/>
        </w:rPr>
        <w:t xml:space="preserve">ability of </w:t>
      </w:r>
      <w:r w:rsidR="0061455C">
        <w:rPr>
          <w:szCs w:val="20"/>
        </w:rPr>
        <w:t>food</w:t>
      </w:r>
      <w:r w:rsidR="0061455C" w:rsidRPr="000467D8">
        <w:rPr>
          <w:szCs w:val="20"/>
        </w:rPr>
        <w:t xml:space="preserve"> to flow within a country or across borders</w:t>
      </w:r>
      <w:r w:rsidR="0061455C">
        <w:t xml:space="preserve">. </w:t>
      </w:r>
      <w:r w:rsidR="00E60A00">
        <w:t xml:space="preserve">Corruption </w:t>
      </w:r>
      <w:r w:rsidR="00132D81">
        <w:t xml:space="preserve">and other informal influences on trading behavior </w:t>
      </w:r>
      <w:r w:rsidR="000945BA">
        <w:t>should also be treated as</w:t>
      </w:r>
      <w:r w:rsidR="00432C6A">
        <w:t xml:space="preserve"> </w:t>
      </w:r>
      <w:r w:rsidR="00EC346E">
        <w:t xml:space="preserve">(informal) </w:t>
      </w:r>
      <w:r w:rsidR="00432C6A">
        <w:t>policies</w:t>
      </w:r>
      <w:r w:rsidR="001E2CAD">
        <w:t xml:space="preserve">, particularly if </w:t>
      </w:r>
      <w:r w:rsidR="00432C6A">
        <w:t>traders commonly face them</w:t>
      </w:r>
      <w:r w:rsidR="00E60A00">
        <w:t xml:space="preserve">. </w:t>
      </w:r>
    </w:p>
    <w:p w14:paraId="62EBA462" w14:textId="77777777" w:rsidR="00596BDB" w:rsidRDefault="00596BDB" w:rsidP="00596BDB"/>
    <w:p w14:paraId="050E387E" w14:textId="2B8CCD3E" w:rsidR="00596BDB" w:rsidRDefault="00596BDB" w:rsidP="00596BDB">
      <w:r>
        <w:t>Lastly, not all policies-on-the-books are implemented</w:t>
      </w:r>
      <w:r w:rsidR="0061455C">
        <w:t>. Nor</w:t>
      </w:r>
      <w:r>
        <w:t xml:space="preserve"> </w:t>
      </w:r>
      <w:r w:rsidR="0061455C">
        <w:t xml:space="preserve">are </w:t>
      </w:r>
      <w:r>
        <w:t xml:space="preserve">all implemented </w:t>
      </w:r>
      <w:r w:rsidR="00640684">
        <w:t xml:space="preserve">policies </w:t>
      </w:r>
      <w:r>
        <w:t xml:space="preserve">enforced, or even enforceable. Policy analysis should incorporate the efficacy of </w:t>
      </w:r>
      <w:r w:rsidR="008F6761">
        <w:t xml:space="preserve">a </w:t>
      </w:r>
      <w:r>
        <w:t>policy in accomplishing its goals. For example, draconian policies that are not implemented are of less concern than less dramatic policies that are regularly enforced. Policies that change frequently can be a source of price volatility, increasing risk for traders. Traders facing risky market environments and highly uncertain prices may be less responsive to increased demand.</w:t>
      </w:r>
    </w:p>
    <w:p w14:paraId="67406A20" w14:textId="77777777" w:rsidR="00885D47" w:rsidRDefault="00885D47" w:rsidP="00885D47"/>
    <w:p w14:paraId="2D343002" w14:textId="16325923" w:rsidR="00885D47" w:rsidRPr="00063B1B" w:rsidRDefault="006A6E3F" w:rsidP="00885D47">
      <w:pPr>
        <w:rPr>
          <w:u w:val="single"/>
        </w:rPr>
      </w:pPr>
      <w:r w:rsidRPr="00063B1B">
        <w:rPr>
          <w:u w:val="single"/>
        </w:rPr>
        <w:t>How do</w:t>
      </w:r>
      <w:r w:rsidR="00885D47" w:rsidRPr="00063B1B">
        <w:rPr>
          <w:u w:val="single"/>
        </w:rPr>
        <w:t xml:space="preserve"> </w:t>
      </w:r>
      <w:r w:rsidR="006E462C" w:rsidRPr="00063B1B">
        <w:rPr>
          <w:u w:val="single"/>
        </w:rPr>
        <w:t>food policy assessment</w:t>
      </w:r>
      <w:r w:rsidRPr="00063B1B">
        <w:rPr>
          <w:u w:val="single"/>
        </w:rPr>
        <w:t>s</w:t>
      </w:r>
      <w:r w:rsidR="006E462C" w:rsidRPr="00063B1B">
        <w:rPr>
          <w:u w:val="single"/>
        </w:rPr>
        <w:t xml:space="preserve"> help</w:t>
      </w:r>
      <w:r w:rsidR="00885D47" w:rsidRPr="00063B1B">
        <w:rPr>
          <w:u w:val="single"/>
        </w:rPr>
        <w:t xml:space="preserve"> answer the relevant MIFIRA sub-question</w:t>
      </w:r>
      <w:r w:rsidR="006E462C" w:rsidRPr="00063B1B">
        <w:rPr>
          <w:u w:val="single"/>
        </w:rPr>
        <w:t>s</w:t>
      </w:r>
      <w:proofErr w:type="gramStart"/>
      <w:r w:rsidR="00885D47" w:rsidRPr="00063B1B">
        <w:rPr>
          <w:u w:val="single"/>
        </w:rPr>
        <w:t>?:</w:t>
      </w:r>
      <w:proofErr w:type="gramEnd"/>
    </w:p>
    <w:p w14:paraId="46228329" w14:textId="77777777" w:rsidR="00A83671" w:rsidRPr="0004401C" w:rsidRDefault="00A83671" w:rsidP="00A83671">
      <w:pPr>
        <w:rPr>
          <w:i/>
        </w:rPr>
      </w:pPr>
      <w:r w:rsidRPr="0004401C">
        <w:rPr>
          <w:i/>
          <w:color w:val="000000"/>
        </w:rPr>
        <w:t>1c. How much additional food can traders supply at or near current costs?</w:t>
      </w:r>
    </w:p>
    <w:p w14:paraId="350E8BD8" w14:textId="460A1320" w:rsidR="00A83671" w:rsidRPr="00A83671" w:rsidRDefault="00DF745D" w:rsidP="00A83671">
      <w:r>
        <w:t>Policies can affect</w:t>
      </w:r>
      <w:r w:rsidR="00307696">
        <w:t xml:space="preserve"> food markets, transport capacity, </w:t>
      </w:r>
      <w:r w:rsidR="00A42166">
        <w:t xml:space="preserve">imports, exports, </w:t>
      </w:r>
      <w:r>
        <w:t>demand,</w:t>
      </w:r>
      <w:r w:rsidR="00307696">
        <w:t xml:space="preserve"> </w:t>
      </w:r>
      <w:r w:rsidR="00C36758">
        <w:t>production</w:t>
      </w:r>
      <w:r w:rsidR="006E462C">
        <w:t xml:space="preserve"> and</w:t>
      </w:r>
      <w:r w:rsidR="006E462C" w:rsidRPr="006E462C">
        <w:t xml:space="preserve"> </w:t>
      </w:r>
      <w:r w:rsidR="006E462C">
        <w:t>competitive behavior in markets</w:t>
      </w:r>
      <w:r w:rsidR="00307696">
        <w:t>.</w:t>
      </w:r>
    </w:p>
    <w:p w14:paraId="0A17B00B" w14:textId="77777777" w:rsidR="00A83671" w:rsidRPr="00A83671" w:rsidRDefault="00A83671" w:rsidP="00A83671"/>
    <w:p w14:paraId="49C94FEA" w14:textId="77777777" w:rsidR="00A83671" w:rsidRPr="008C1603" w:rsidRDefault="00A83671" w:rsidP="00A83671">
      <w:pPr>
        <w:tabs>
          <w:tab w:val="left" w:pos="720"/>
        </w:tabs>
        <w:rPr>
          <w:i/>
        </w:rPr>
      </w:pPr>
      <w:r w:rsidRPr="008C1603">
        <w:rPr>
          <w:i/>
        </w:rPr>
        <w:t>2a. Where are viable prospective source markets?</w:t>
      </w:r>
    </w:p>
    <w:p w14:paraId="4B0BAD82" w14:textId="77777777" w:rsidR="00A83671" w:rsidRPr="00A83671" w:rsidRDefault="00A83671" w:rsidP="00885D47">
      <w:pPr>
        <w:rPr>
          <w:szCs w:val="20"/>
        </w:rPr>
      </w:pPr>
      <w:r>
        <w:rPr>
          <w:szCs w:val="20"/>
        </w:rPr>
        <w:t xml:space="preserve">Policies </w:t>
      </w:r>
      <w:r w:rsidR="00187865">
        <w:rPr>
          <w:szCs w:val="20"/>
        </w:rPr>
        <w:t xml:space="preserve">affecting food exports and </w:t>
      </w:r>
      <w:r>
        <w:rPr>
          <w:szCs w:val="20"/>
        </w:rPr>
        <w:t>import</w:t>
      </w:r>
      <w:r w:rsidR="00187865">
        <w:rPr>
          <w:szCs w:val="20"/>
        </w:rPr>
        <w:t xml:space="preserve">s </w:t>
      </w:r>
      <w:r>
        <w:rPr>
          <w:szCs w:val="20"/>
        </w:rPr>
        <w:t xml:space="preserve">will influence how quickly and cost-effectively food can arrive. </w:t>
      </w:r>
    </w:p>
    <w:p w14:paraId="5C722150" w14:textId="77777777" w:rsidR="00486D3E" w:rsidRDefault="00486D3E" w:rsidP="00885D47">
      <w:pPr>
        <w:rPr>
          <w:b/>
        </w:rPr>
      </w:pPr>
    </w:p>
    <w:p w14:paraId="4B2E1501" w14:textId="440B7010" w:rsidR="00885D47" w:rsidRPr="005F12A6" w:rsidRDefault="001D1C31" w:rsidP="00885D47">
      <w:pPr>
        <w:rPr>
          <w:b/>
        </w:rPr>
      </w:pPr>
      <w:r>
        <w:rPr>
          <w:b/>
        </w:rPr>
        <w:t>Categories of policies</w:t>
      </w:r>
    </w:p>
    <w:p w14:paraId="7D0366D4" w14:textId="3F429F80" w:rsidR="006A2086" w:rsidRPr="00986542" w:rsidRDefault="00744C6E" w:rsidP="006A2086">
      <w:r>
        <w:lastRenderedPageBreak/>
        <w:t>The policies of interest are thos</w:t>
      </w:r>
      <w:r w:rsidR="00CC51D1">
        <w:t>e</w:t>
      </w:r>
      <w:r w:rsidR="006C2614">
        <w:t xml:space="preserve"> intended</w:t>
      </w:r>
      <w:r w:rsidR="000559C8">
        <w:t xml:space="preserve"> to </w:t>
      </w:r>
      <w:r w:rsidR="006C2614">
        <w:t xml:space="preserve">directly </w:t>
      </w:r>
      <w:r w:rsidR="000559C8">
        <w:t>influence food</w:t>
      </w:r>
      <w:r w:rsidR="006C2614">
        <w:t xml:space="preserve"> prices, availabil</w:t>
      </w:r>
      <w:r w:rsidR="00CC51D1">
        <w:t>ity or access. O</w:t>
      </w:r>
      <w:r w:rsidR="00804F12">
        <w:t xml:space="preserve">ther, secondary policies </w:t>
      </w:r>
      <w:r w:rsidR="000559C8">
        <w:t>may indirectly or unintent</w:t>
      </w:r>
      <w:r w:rsidR="00441511">
        <w:t xml:space="preserve">ionally influence food </w:t>
      </w:r>
      <w:r w:rsidR="00AC2C72">
        <w:t xml:space="preserve">price </w:t>
      </w:r>
      <w:r w:rsidR="00441511">
        <w:t>outcomes</w:t>
      </w:r>
      <w:r w:rsidR="006A6756">
        <w:t>, but are not the subject of our analysis.</w:t>
      </w:r>
      <w:r w:rsidR="00237589">
        <w:t xml:space="preserve"> </w:t>
      </w:r>
      <w:r w:rsidR="006A2086">
        <w:t xml:space="preserve"> FEWS-NET lists key policy parameters and their potential impacts on both markets and the population.</w:t>
      </w:r>
    </w:p>
    <w:p w14:paraId="068CE115" w14:textId="77777777" w:rsidR="006A2086" w:rsidRPr="00270E26" w:rsidRDefault="006A2086" w:rsidP="006A2086">
      <w:pPr>
        <w:rPr>
          <w:b/>
        </w:rPr>
      </w:pPr>
      <w:r>
        <w:rPr>
          <w:b/>
        </w:rPr>
        <w:t>FEWS-NET</w:t>
      </w:r>
      <w:r w:rsidRPr="00543685">
        <w:rPr>
          <w:b/>
        </w:rPr>
        <w:t xml:space="preserve"> Policy Impacts</w:t>
      </w:r>
      <w:r>
        <w:rPr>
          <w:b/>
        </w:rPr>
        <w:t xml:space="preserve"> (2009, Lesson 3, p. 24)</w:t>
      </w:r>
      <w:r w:rsidRPr="00270E26">
        <w:t xml:space="preserve"> </w:t>
      </w:r>
      <w:r w:rsidRPr="00270E26">
        <w:rPr>
          <w:noProof/>
          <w:lang w:eastAsia="en-US"/>
        </w:rPr>
        <w:drawing>
          <wp:inline distT="0" distB="0" distL="0" distR="0" wp14:anchorId="2AFFBFED" wp14:editId="3072AAFC">
            <wp:extent cx="5486400" cy="3505200"/>
            <wp:effectExtent l="0" t="0" r="0" b="0"/>
            <wp:docPr id="37" name="P 3" descr="FEWs Policy impacts 1.tiff"/>
            <wp:cNvGraphicFramePr/>
            <a:graphic xmlns:a="http://schemas.openxmlformats.org/drawingml/2006/main">
              <a:graphicData uri="http://schemas.openxmlformats.org/drawingml/2006/picture">
                <pic:pic xmlns:pic="http://schemas.openxmlformats.org/drawingml/2006/picture">
                  <pic:nvPicPr>
                    <pic:cNvPr id="0" name="Content Placeholder 6" descr="FEWs Policy impacts 1.tiff"/>
                    <pic:cNvPicPr>
                      <a:picLocks noGrp="1" noChangeAspect="1"/>
                    </pic:cNvPicPr>
                  </pic:nvPicPr>
                  <pic:blipFill>
                    <a:blip r:embed="rId23" cstate="print"/>
                    <a:srcRect l="-5647" r="-5647"/>
                    <a:stretch>
                      <a:fillRect/>
                    </a:stretch>
                  </pic:blipFill>
                  <pic:spPr bwMode="auto">
                    <a:xfrm>
                      <a:off x="0" y="0"/>
                      <a:ext cx="5486400" cy="3505200"/>
                    </a:xfrm>
                    <a:prstGeom prst="rect">
                      <a:avLst/>
                    </a:prstGeom>
                    <a:noFill/>
                    <a:ln w="12700">
                      <a:noFill/>
                      <a:miter lim="800000"/>
                      <a:headEnd/>
                      <a:tailEnd/>
                    </a:ln>
                  </pic:spPr>
                </pic:pic>
              </a:graphicData>
            </a:graphic>
          </wp:inline>
        </w:drawing>
      </w:r>
    </w:p>
    <w:p w14:paraId="3C8AB41E" w14:textId="79EDCD49" w:rsidR="006A2086" w:rsidRDefault="006A2086" w:rsidP="006A2086">
      <w:r w:rsidRPr="005437C4">
        <w:rPr>
          <w:noProof/>
          <w:lang w:eastAsia="en-US"/>
        </w:rPr>
        <w:drawing>
          <wp:inline distT="0" distB="0" distL="0" distR="0" wp14:anchorId="3A164EC1" wp14:editId="04D8075A">
            <wp:extent cx="5055235" cy="3301255"/>
            <wp:effectExtent l="25400" t="0" r="0" b="0"/>
            <wp:docPr id="38" name="P 5" descr="FEWs Policy impacts 2.tiff"/>
            <wp:cNvGraphicFramePr/>
            <a:graphic xmlns:a="http://schemas.openxmlformats.org/drawingml/2006/main">
              <a:graphicData uri="http://schemas.openxmlformats.org/drawingml/2006/picture">
                <pic:pic xmlns:pic="http://schemas.openxmlformats.org/drawingml/2006/picture">
                  <pic:nvPicPr>
                    <pic:cNvPr id="0" name="Content Placeholder 4" descr="FEWs Policy impacts 2.tiff"/>
                    <pic:cNvPicPr>
                      <a:picLocks noGrp="1" noChangeAspect="1"/>
                    </pic:cNvPicPr>
                  </pic:nvPicPr>
                  <pic:blipFill>
                    <a:blip r:embed="rId24" cstate="print"/>
                    <a:srcRect t="-8981" b="-8981"/>
                    <a:stretch>
                      <a:fillRect/>
                    </a:stretch>
                  </pic:blipFill>
                  <pic:spPr bwMode="auto">
                    <a:xfrm>
                      <a:off x="0" y="0"/>
                      <a:ext cx="5060197" cy="3304495"/>
                    </a:xfrm>
                    <a:prstGeom prst="rect">
                      <a:avLst/>
                    </a:prstGeom>
                    <a:noFill/>
                    <a:ln w="12700">
                      <a:noFill/>
                      <a:miter lim="800000"/>
                      <a:headEnd/>
                      <a:tailEnd/>
                    </a:ln>
                  </pic:spPr>
                </pic:pic>
              </a:graphicData>
            </a:graphic>
          </wp:inline>
        </w:drawing>
      </w:r>
    </w:p>
    <w:p w14:paraId="69EC3821" w14:textId="71D69129" w:rsidR="00EE6EBC" w:rsidRDefault="00EE6EBC" w:rsidP="00885D47">
      <w:r>
        <w:t>Other important food policies include non-tariff barriers and exchange rate policies.</w:t>
      </w:r>
    </w:p>
    <w:p w14:paraId="66049C96" w14:textId="77777777" w:rsidR="00EE6EBC" w:rsidRDefault="00EE6EBC" w:rsidP="00EE6EBC">
      <w:pPr>
        <w:tabs>
          <w:tab w:val="left" w:pos="360"/>
        </w:tabs>
      </w:pPr>
    </w:p>
    <w:p w14:paraId="27D6A31E" w14:textId="3FC389B9" w:rsidR="007453F5" w:rsidRPr="007453F5" w:rsidRDefault="007453F5" w:rsidP="00EE6EBC">
      <w:pPr>
        <w:tabs>
          <w:tab w:val="left" w:pos="360"/>
        </w:tabs>
        <w:rPr>
          <w:u w:val="single"/>
        </w:rPr>
      </w:pPr>
      <w:r>
        <w:rPr>
          <w:u w:val="single"/>
        </w:rPr>
        <w:t>Non</w:t>
      </w:r>
      <w:r w:rsidR="00E447A4">
        <w:rPr>
          <w:u w:val="single"/>
        </w:rPr>
        <w:t>-tar</w:t>
      </w:r>
      <w:r>
        <w:rPr>
          <w:u w:val="single"/>
        </w:rPr>
        <w:t>iff barriers</w:t>
      </w:r>
    </w:p>
    <w:p w14:paraId="3FE241D7" w14:textId="141F1092" w:rsidR="00EE6EBC" w:rsidRDefault="00EE6EBC" w:rsidP="00EE6EBC">
      <w:pPr>
        <w:tabs>
          <w:tab w:val="left" w:pos="360"/>
        </w:tabs>
      </w:pPr>
      <w:r>
        <w:t xml:space="preserve">Bottlenecks can be due to non-tariff barriers such as sanitary and </w:t>
      </w:r>
      <w:proofErr w:type="spellStart"/>
      <w:r>
        <w:t>phytosanitary</w:t>
      </w:r>
      <w:proofErr w:type="spellEnd"/>
      <w:r>
        <w:t xml:space="preserve"> standards, fumigation policies, certification requirements, or biosafety controls, which are especially important with respect to genetically modified foods. </w:t>
      </w:r>
      <w:r w:rsidRPr="00315A34">
        <w:t>Non-tariff barriers and licensing can increase the costs of trade and discourage entry of additional traders, potentially limiting competition</w:t>
      </w:r>
      <w:r>
        <w:t xml:space="preserve"> and driving up prices</w:t>
      </w:r>
      <w:r w:rsidRPr="00315A34">
        <w:t>.</w:t>
      </w:r>
    </w:p>
    <w:p w14:paraId="0659E41F" w14:textId="77777777" w:rsidR="00804F12" w:rsidRDefault="00804F12" w:rsidP="00885D47"/>
    <w:p w14:paraId="00C20F62" w14:textId="77777777" w:rsidR="00804F12" w:rsidRPr="00521BA3" w:rsidRDefault="00804F12" w:rsidP="00804F12">
      <w:pPr>
        <w:tabs>
          <w:tab w:val="left" w:pos="360"/>
        </w:tabs>
        <w:rPr>
          <w:u w:val="single"/>
        </w:rPr>
      </w:pPr>
      <w:r w:rsidRPr="00521BA3">
        <w:rPr>
          <w:u w:val="single"/>
        </w:rPr>
        <w:t>Exchange Rates:</w:t>
      </w:r>
    </w:p>
    <w:p w14:paraId="2FD4D7E0" w14:textId="1C8A59C3" w:rsidR="00804F12" w:rsidRPr="00315A34" w:rsidRDefault="00704648" w:rsidP="00804F12">
      <w:proofErr w:type="gramStart"/>
      <w:r>
        <w:t>A final, important source of food price variability are</w:t>
      </w:r>
      <w:proofErr w:type="gramEnd"/>
      <w:r>
        <w:t xml:space="preserve"> exchange rate policies. </w:t>
      </w:r>
      <w:r w:rsidR="00804F12">
        <w:t>Are exchange rates fixed or floating? If the exchange rate for domestic currency is fixed, is it properly valued, overvalued or undervalued? E</w:t>
      </w:r>
      <w:r w:rsidR="00804F12" w:rsidRPr="00315A34">
        <w:t xml:space="preserve">xchange rates with </w:t>
      </w:r>
      <w:r w:rsidR="00804F12">
        <w:t xml:space="preserve">an </w:t>
      </w:r>
      <w:r w:rsidR="00804F12" w:rsidRPr="00315A34">
        <w:t>overvalued currenc</w:t>
      </w:r>
      <w:r w:rsidR="00804F12">
        <w:t>y will discourage ex</w:t>
      </w:r>
      <w:r>
        <w:t>ports</w:t>
      </w:r>
      <w:r w:rsidR="00804F12">
        <w:t xml:space="preserve"> and subsidize consumers </w:t>
      </w:r>
      <w:r w:rsidR="00804F12" w:rsidRPr="00315A34">
        <w:t>w</w:t>
      </w:r>
      <w:r w:rsidR="00804F12">
        <w:t>hile under-valued currency typically</w:t>
      </w:r>
      <w:r w:rsidR="00804F12" w:rsidRPr="00315A34">
        <w:t xml:space="preserve"> increase</w:t>
      </w:r>
      <w:r w:rsidR="00804F12">
        <w:t>s</w:t>
      </w:r>
      <w:r w:rsidR="00804F12" w:rsidRPr="00315A34">
        <w:t xml:space="preserve"> exports</w:t>
      </w:r>
      <w:r w:rsidR="00804F12">
        <w:t xml:space="preserve"> but at the cost of driving up domestic prices</w:t>
      </w:r>
      <w:r w:rsidR="00804F12" w:rsidRPr="00315A34">
        <w:t>.</w:t>
      </w:r>
    </w:p>
    <w:p w14:paraId="79835F74" w14:textId="77777777" w:rsidR="00804F12" w:rsidRDefault="00804F12" w:rsidP="00EE6EBC">
      <w:pPr>
        <w:tabs>
          <w:tab w:val="left" w:pos="360"/>
        </w:tabs>
      </w:pPr>
    </w:p>
    <w:p w14:paraId="3FF1CB02" w14:textId="77777777" w:rsidR="00804F12" w:rsidRDefault="00804F12" w:rsidP="00804F12">
      <w:r>
        <w:t xml:space="preserve">When currency depreciates or is </w:t>
      </w:r>
      <w:r w:rsidRPr="00A067A5">
        <w:t>devalued</w:t>
      </w:r>
      <w:r>
        <w:t xml:space="preserve">, imports become costlier and exports become cheaper. Therefore, following </w:t>
      </w:r>
      <w:proofErr w:type="gramStart"/>
      <w:r>
        <w:t>a devaluation</w:t>
      </w:r>
      <w:proofErr w:type="gramEnd"/>
      <w:r>
        <w:t xml:space="preserve">, relatively more food may be exported than before a devaluation. When currency appreciates or is overvalued, imports are cheaper and exports are more </w:t>
      </w:r>
      <w:proofErr w:type="gramStart"/>
      <w:r>
        <w:t>costlier</w:t>
      </w:r>
      <w:proofErr w:type="gramEnd"/>
      <w:r>
        <w:t>. An appreciated currency may lead to an increase in imported food, relative to before the appreciation.</w:t>
      </w:r>
    </w:p>
    <w:p w14:paraId="3A05D023" w14:textId="77777777" w:rsidR="00804F12" w:rsidRDefault="00804F12" w:rsidP="00804F12"/>
    <w:p w14:paraId="0C0EA257" w14:textId="77777777" w:rsidR="00804F12" w:rsidRDefault="00804F12" w:rsidP="00804F12">
      <w:r>
        <w:t>According to the law of one price, exchange rates should equalize the prices of the same baskets of good across countries. However, as the Economist Magazine’s Big Mac Index shows, the cost of a Big Mac differs quite dramatically across countries.</w:t>
      </w:r>
    </w:p>
    <w:p w14:paraId="28768BFE" w14:textId="77777777" w:rsidR="00804F12" w:rsidRDefault="00804F12" w:rsidP="00804F12"/>
    <w:p w14:paraId="66E56570" w14:textId="77777777" w:rsidR="00804F12" w:rsidRPr="00A067A5" w:rsidRDefault="00804F12" w:rsidP="00804F12">
      <w:pPr>
        <w:rPr>
          <w:b/>
        </w:rPr>
      </w:pPr>
      <w:r>
        <w:rPr>
          <w:b/>
        </w:rPr>
        <w:t xml:space="preserve">Big Mac Index and </w:t>
      </w:r>
      <w:r w:rsidRPr="00A067A5">
        <w:rPr>
          <w:b/>
        </w:rPr>
        <w:t>Purchasing Power P</w:t>
      </w:r>
      <w:r>
        <w:rPr>
          <w:b/>
        </w:rPr>
        <w:t>arity</w:t>
      </w:r>
    </w:p>
    <w:p w14:paraId="0971758C" w14:textId="77777777" w:rsidR="00804F12" w:rsidRDefault="00804F12" w:rsidP="00804F12">
      <w:pPr>
        <w:pStyle w:val="Heading1"/>
      </w:pPr>
      <w:r w:rsidRPr="00A067A5">
        <w:rPr>
          <w:noProof/>
          <w:lang w:eastAsia="en-US"/>
        </w:rPr>
        <w:lastRenderedPageBreak/>
        <w:drawing>
          <wp:inline distT="0" distB="0" distL="0" distR="0" wp14:anchorId="1440914C" wp14:editId="0C12C297">
            <wp:extent cx="5486400" cy="3403600"/>
            <wp:effectExtent l="0" t="0" r="0" b="0"/>
            <wp:docPr id="52226" name="Content Placeholder 4" descr="Big Mac Index.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2226" name="Content Placeholder 4" descr="Big Mac Index.jpg"/>
                    <pic:cNvPicPr>
                      <a:picLocks noGrp="1" noChangeAspect="1"/>
                    </pic:cNvPicPr>
                  </pic:nvPicPr>
                  <pic:blipFill>
                    <a:blip r:embed="rId25">
                      <a:extLst>
                        <a:ext uri="{28A0092B-C50C-407E-A947-70E740481C1C}">
                          <a14:useLocalDpi xmlns:a14="http://schemas.microsoft.com/office/drawing/2010/main" val="0"/>
                        </a:ext>
                      </a:extLst>
                    </a:blip>
                    <a:srcRect l="-35793" r="-35793"/>
                    <a:stretch>
                      <a:fillRect/>
                    </a:stretch>
                  </pic:blipFill>
                  <pic:spPr bwMode="auto">
                    <a:xfrm>
                      <a:off x="0" y="0"/>
                      <a:ext cx="5486400" cy="3403600"/>
                    </a:xfrm>
                    <a:prstGeom prst="rect">
                      <a:avLst/>
                    </a:prstGeom>
                    <a:noFill/>
                    <a:ln>
                      <a:noFill/>
                    </a:ln>
                    <a:extLst>
                      <a:ext uri="{FAA26D3D-D897-4be2-8F04-BA451C77F1D7}">
                        <ma14:placeholderFlag xmlns:ma14="http://schemas.microsoft.com/office/mac/drawingml/2011/main" val="1"/>
                      </a:ext>
                    </a:extLst>
                  </pic:spPr>
                </pic:pic>
              </a:graphicData>
            </a:graphic>
          </wp:inline>
        </w:drawing>
      </w:r>
    </w:p>
    <w:p w14:paraId="60B73900" w14:textId="77777777" w:rsidR="00804F12" w:rsidRDefault="00804F12" w:rsidP="00804F12">
      <w:r>
        <w:t>Source: Economist Magazine.</w:t>
      </w:r>
    </w:p>
    <w:p w14:paraId="7AB83960" w14:textId="42FD3152" w:rsidR="00521BA3" w:rsidRDefault="00521BA3" w:rsidP="00357B5A"/>
    <w:p w14:paraId="087DFF34" w14:textId="77777777" w:rsidR="00521BA3" w:rsidRDefault="00521BA3" w:rsidP="00357B5A"/>
    <w:p w14:paraId="3775F58D" w14:textId="77777777" w:rsidR="00063B1B" w:rsidRDefault="001B0F45" w:rsidP="001B0F45">
      <w:pPr>
        <w:rPr>
          <w:b/>
        </w:rPr>
      </w:pPr>
      <w:r w:rsidRPr="00577F93">
        <w:rPr>
          <w:b/>
        </w:rPr>
        <w:t>Example</w:t>
      </w:r>
      <w:r>
        <w:rPr>
          <w:b/>
        </w:rPr>
        <w:t>s</w:t>
      </w:r>
      <w:r w:rsidR="00063B1B">
        <w:rPr>
          <w:b/>
        </w:rPr>
        <w:t>:</w:t>
      </w:r>
    </w:p>
    <w:p w14:paraId="020B109C" w14:textId="2FF44C78" w:rsidR="001B0F45" w:rsidRPr="00063B1B" w:rsidRDefault="00063B1B" w:rsidP="001B0F45">
      <w:pPr>
        <w:rPr>
          <w:u w:val="single"/>
        </w:rPr>
      </w:pPr>
      <w:r w:rsidRPr="00063B1B">
        <w:rPr>
          <w:u w:val="single"/>
        </w:rPr>
        <w:t>C</w:t>
      </w:r>
      <w:r w:rsidR="001B0F45" w:rsidRPr="00063B1B">
        <w:rPr>
          <w:u w:val="single"/>
        </w:rPr>
        <w:t>hanging prices</w:t>
      </w:r>
    </w:p>
    <w:p w14:paraId="38B9603A" w14:textId="28B58C30" w:rsidR="00AE4DFA" w:rsidRDefault="00AE4DFA" w:rsidP="00AE4DFA">
      <w:pPr>
        <w:tabs>
          <w:tab w:val="left" w:pos="360"/>
        </w:tabs>
      </w:pPr>
      <w:r>
        <w:t xml:space="preserve">Marketing </w:t>
      </w:r>
      <w:r w:rsidR="00F455F8" w:rsidRPr="00E254F2">
        <w:t>boards continue to play major role in food and input markets</w:t>
      </w:r>
      <w:r>
        <w:t>.</w:t>
      </w:r>
      <w:r w:rsidRPr="00AE4DFA">
        <w:t xml:space="preserve"> </w:t>
      </w:r>
      <w:r w:rsidRPr="00E254F2">
        <w:t>For</w:t>
      </w:r>
      <w:r>
        <w:t xml:space="preserve"> example, marketing boards in sub-Saharan Africa shape</w:t>
      </w:r>
      <w:r w:rsidRPr="00E254F2">
        <w:t xml:space="preserve"> maize</w:t>
      </w:r>
      <w:r>
        <w:t xml:space="preserve"> prices;</w:t>
      </w:r>
      <w:r w:rsidRPr="00E254F2">
        <w:t xml:space="preserve"> marketing boards handle 15-57%</w:t>
      </w:r>
      <w:r w:rsidR="006444F4">
        <w:t xml:space="preserve"> of maize in Kenya</w:t>
      </w:r>
      <w:r w:rsidRPr="00E254F2">
        <w:t>, 3</w:t>
      </w:r>
      <w:r w:rsidR="006444F4">
        <w:t>-32% in Malawi</w:t>
      </w:r>
      <w:r>
        <w:t>,</w:t>
      </w:r>
      <w:r w:rsidR="006444F4">
        <w:t xml:space="preserve"> and 11-45% in Zambia</w:t>
      </w:r>
      <w:r>
        <w:t xml:space="preserve"> (</w:t>
      </w:r>
      <w:r w:rsidRPr="00E254F2">
        <w:t>Jayne et al. 2005</w:t>
      </w:r>
      <w:r>
        <w:t>).</w:t>
      </w:r>
    </w:p>
    <w:p w14:paraId="1BD4FEC3" w14:textId="77777777" w:rsidR="00AE4DFA" w:rsidRPr="00E254F2" w:rsidRDefault="00AE4DFA" w:rsidP="00AE4DFA">
      <w:pPr>
        <w:tabs>
          <w:tab w:val="left" w:pos="360"/>
        </w:tabs>
      </w:pPr>
    </w:p>
    <w:p w14:paraId="26CF789A" w14:textId="5EA9314B" w:rsidR="00F455F8" w:rsidRPr="00E254F2" w:rsidRDefault="00AE4DFA" w:rsidP="00AE4DFA">
      <w:pPr>
        <w:tabs>
          <w:tab w:val="left" w:pos="360"/>
        </w:tabs>
      </w:pPr>
      <w:r w:rsidRPr="00315A34">
        <w:t>Price controls may increase demand, but if prices are set lower than producer costs, may decrease supply. Policies that decrease domestic prices relative to international prices may discourage production and may encourage (informal) exports. Policies that increase domestic prices relative to international prices may benefit producers but harm consumers while simultaneously making imports relatively expensive.</w:t>
      </w:r>
    </w:p>
    <w:p w14:paraId="015E3332" w14:textId="77777777" w:rsidR="00E254F2" w:rsidRDefault="00E254F2" w:rsidP="00E254F2">
      <w:pPr>
        <w:tabs>
          <w:tab w:val="left" w:pos="360"/>
        </w:tabs>
      </w:pPr>
    </w:p>
    <w:p w14:paraId="03E0F0E3" w14:textId="77777777" w:rsidR="00E254F2" w:rsidRDefault="00E254F2" w:rsidP="00E254F2">
      <w:r>
        <w:t xml:space="preserve">In the below example, a government imposes an import subsidy for consumers, which depresses the domestic price to below the world price and below the country’s self-sufficiency price. This lower price results in consumers demanding more </w:t>
      </w:r>
      <w:proofErr w:type="gramStart"/>
      <w:r>
        <w:t>product</w:t>
      </w:r>
      <w:proofErr w:type="gramEnd"/>
      <w:r>
        <w:t xml:space="preserve"> (Q4), while producers supply less (Q1).</w:t>
      </w:r>
    </w:p>
    <w:p w14:paraId="6785DEF2" w14:textId="77777777" w:rsidR="00E254F2" w:rsidRPr="006778DB" w:rsidRDefault="00E254F2" w:rsidP="00E254F2"/>
    <w:p w14:paraId="15C6E9BF" w14:textId="77777777" w:rsidR="00E254F2" w:rsidRDefault="00E254F2" w:rsidP="00E254F2"/>
    <w:p w14:paraId="0B01F338" w14:textId="77777777" w:rsidR="00E254F2" w:rsidRDefault="00E254F2" w:rsidP="00E254F2">
      <w:r w:rsidRPr="00577F93">
        <w:rPr>
          <w:noProof/>
          <w:lang w:eastAsia="en-US"/>
        </w:rPr>
        <w:lastRenderedPageBreak/>
        <w:drawing>
          <wp:inline distT="0" distB="0" distL="0" distR="0" wp14:anchorId="6ED56C65" wp14:editId="0CAC4439">
            <wp:extent cx="5486400" cy="3708400"/>
            <wp:effectExtent l="0" t="0" r="0" b="0"/>
            <wp:docPr id="45" name="P 6" descr="Timmer Import Subsidy.jpg"/>
            <wp:cNvGraphicFramePr/>
            <a:graphic xmlns:a="http://schemas.openxmlformats.org/drawingml/2006/main">
              <a:graphicData uri="http://schemas.openxmlformats.org/drawingml/2006/picture">
                <pic:pic xmlns:pic="http://schemas.openxmlformats.org/drawingml/2006/picture">
                  <pic:nvPicPr>
                    <pic:cNvPr id="0" name="Content Placeholder 4" descr="Timmer Import Subsidy.jpg"/>
                    <pic:cNvPicPr>
                      <a:picLocks noGrp="1" noChangeAspect="1"/>
                    </pic:cNvPicPr>
                  </pic:nvPicPr>
                  <pic:blipFill>
                    <a:blip r:embed="rId26" cstate="print"/>
                    <a:srcRect l="-14976" r="-14976"/>
                    <a:stretch>
                      <a:fillRect/>
                    </a:stretch>
                  </pic:blipFill>
                  <pic:spPr bwMode="auto">
                    <a:xfrm>
                      <a:off x="0" y="0"/>
                      <a:ext cx="5486400" cy="3708400"/>
                    </a:xfrm>
                    <a:prstGeom prst="rect">
                      <a:avLst/>
                    </a:prstGeom>
                    <a:noFill/>
                    <a:ln w="12700">
                      <a:noFill/>
                      <a:miter lim="800000"/>
                      <a:headEnd/>
                      <a:tailEnd/>
                    </a:ln>
                  </pic:spPr>
                </pic:pic>
              </a:graphicData>
            </a:graphic>
          </wp:inline>
        </w:drawing>
      </w:r>
    </w:p>
    <w:p w14:paraId="7833AD2B" w14:textId="77777777" w:rsidR="00E254F2" w:rsidRDefault="00E254F2" w:rsidP="00E254F2">
      <w:r>
        <w:t xml:space="preserve">Source: </w:t>
      </w:r>
      <w:proofErr w:type="spellStart"/>
      <w:r>
        <w:t>Timmer</w:t>
      </w:r>
      <w:proofErr w:type="spellEnd"/>
      <w:r>
        <w:t xml:space="preserve"> et al. 1983, P. 192.</w:t>
      </w:r>
    </w:p>
    <w:p w14:paraId="33AF9A8E" w14:textId="77777777" w:rsidR="003D7C60" w:rsidRDefault="003D7C60" w:rsidP="00221665"/>
    <w:p w14:paraId="6C4D650D" w14:textId="3E50B2B7" w:rsidR="00221665" w:rsidRPr="00063B1B" w:rsidRDefault="00063B1B" w:rsidP="00221665">
      <w:pPr>
        <w:rPr>
          <w:u w:val="single"/>
        </w:rPr>
      </w:pPr>
      <w:r w:rsidRPr="00063B1B">
        <w:rPr>
          <w:u w:val="single"/>
        </w:rPr>
        <w:t>S</w:t>
      </w:r>
      <w:r w:rsidR="00221665" w:rsidRPr="00063B1B">
        <w:rPr>
          <w:u w:val="single"/>
        </w:rPr>
        <w:t>upply shift</w:t>
      </w:r>
    </w:p>
    <w:p w14:paraId="702A995C" w14:textId="77777777" w:rsidR="00221665" w:rsidRDefault="00221665" w:rsidP="00221665">
      <w:r>
        <w:t>Exogenous factors, such as drought, can decrease supply. In the short-run, domestic supply of food is perfectly inelastic because there is a lag while additional food is grown.  Government policies to open borders to trade will result in a lower price increase in food prices relative to a closed border.</w:t>
      </w:r>
    </w:p>
    <w:p w14:paraId="2D4A3F28" w14:textId="77777777" w:rsidR="00221665" w:rsidRDefault="00221665" w:rsidP="00221665">
      <w:r>
        <w:rPr>
          <w:noProof/>
          <w:lang w:eastAsia="en-US"/>
        </w:rPr>
        <w:lastRenderedPageBreak/>
        <w:drawing>
          <wp:inline distT="0" distB="0" distL="0" distR="0" wp14:anchorId="1AF21E4B" wp14:editId="5580E974">
            <wp:extent cx="5194300" cy="5397500"/>
            <wp:effectExtent l="25400" t="0" r="0" b="0"/>
            <wp:docPr id="44" name="Picture 38" descr="Effects of private Im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s of private Imports.jpg"/>
                    <pic:cNvPicPr/>
                  </pic:nvPicPr>
                  <pic:blipFill>
                    <a:blip r:embed="rId27" cstate="print"/>
                    <a:stretch>
                      <a:fillRect/>
                    </a:stretch>
                  </pic:blipFill>
                  <pic:spPr>
                    <a:xfrm>
                      <a:off x="0" y="0"/>
                      <a:ext cx="5194300" cy="5397500"/>
                    </a:xfrm>
                    <a:prstGeom prst="rect">
                      <a:avLst/>
                    </a:prstGeom>
                  </pic:spPr>
                </pic:pic>
              </a:graphicData>
            </a:graphic>
          </wp:inline>
        </w:drawing>
      </w:r>
    </w:p>
    <w:p w14:paraId="1465A831" w14:textId="77777777" w:rsidR="00221665" w:rsidRDefault="00221665" w:rsidP="00221665">
      <w:r>
        <w:t xml:space="preserve">Source: </w:t>
      </w:r>
      <w:proofErr w:type="spellStart"/>
      <w:r>
        <w:t>Dorosh</w:t>
      </w:r>
      <w:proofErr w:type="spellEnd"/>
      <w:r>
        <w:t xml:space="preserve"> et al. 2009. P. 354</w:t>
      </w:r>
    </w:p>
    <w:p w14:paraId="6328BB8A" w14:textId="4BC903A9" w:rsidR="00163851" w:rsidRDefault="00163851" w:rsidP="00163851">
      <w:pPr>
        <w:tabs>
          <w:tab w:val="left" w:pos="360"/>
        </w:tabs>
      </w:pPr>
    </w:p>
    <w:p w14:paraId="5BABFC18" w14:textId="62A751C4" w:rsidR="003D7C60" w:rsidRPr="00063B1B" w:rsidRDefault="00063B1B" w:rsidP="003D7C60">
      <w:pPr>
        <w:rPr>
          <w:u w:val="single"/>
        </w:rPr>
      </w:pPr>
      <w:r w:rsidRPr="00063B1B">
        <w:rPr>
          <w:u w:val="single"/>
        </w:rPr>
        <w:t>R</w:t>
      </w:r>
      <w:r w:rsidR="003D7C60" w:rsidRPr="00063B1B">
        <w:rPr>
          <w:u w:val="single"/>
        </w:rPr>
        <w:t xml:space="preserve">ole of the government of Bangladesh in stabilizing food supply in 1997/98 </w:t>
      </w:r>
    </w:p>
    <w:p w14:paraId="6FF3061F" w14:textId="77777777" w:rsidR="003D7C60" w:rsidRDefault="003D7C60" w:rsidP="003D7C60">
      <w:r>
        <w:t>Poor harvests in 1997/98 increased rice prices, threatening food security for the ultra-poor. The Government of Bangladesh (</w:t>
      </w:r>
      <w:proofErr w:type="spellStart"/>
      <w:r>
        <w:t>GoB</w:t>
      </w:r>
      <w:proofErr w:type="spellEnd"/>
      <w:r>
        <w:t xml:space="preserve">) responded to the production shortfall and the ensuing entitlement failures by altering major food policies. The government lacked stocks large enough to force prices down and faced significant delays in procuring rice from international markets, whether through government-directed purchases or food aid deliveries. When the domestic rice price rose to import parity, commercial imports into Bangladesh began to increase. To encourage these imports, the </w:t>
      </w:r>
      <w:proofErr w:type="spellStart"/>
      <w:r>
        <w:t>GoB</w:t>
      </w:r>
      <w:proofErr w:type="spellEnd"/>
      <w:r>
        <w:t xml:space="preserve"> removed tariffs on rice, making it duty free – and thereby both reducing trader out-of-pocket expenses and bureaucratic delays on cross-border deliveries – and raised the open market sales price of rice closer to the import parity price. The </w:t>
      </w:r>
      <w:proofErr w:type="spellStart"/>
      <w:r>
        <w:t>GoB</w:t>
      </w:r>
      <w:proofErr w:type="spellEnd"/>
      <w:r>
        <w:t xml:space="preserve"> also explained their policies to major rice traders, removing some of the uncertainty traders faced. Finally, the government did not </w:t>
      </w:r>
      <w:r>
        <w:lastRenderedPageBreak/>
        <w:t xml:space="preserve">instate anti-hoarding laws, which act as disincentives to both local traders and importers. </w:t>
      </w:r>
    </w:p>
    <w:p w14:paraId="593ED88F" w14:textId="77777777" w:rsidR="003D7C60" w:rsidRDefault="003D7C60" w:rsidP="003D7C60"/>
    <w:p w14:paraId="5B06C52F" w14:textId="77777777" w:rsidR="003D7C60" w:rsidRDefault="003D7C60" w:rsidP="003D7C60">
      <w:r>
        <w:t xml:space="preserve">Several months later, during a massive flood, in late July and August 1998, these policies remained in effect and combined with food aid deliveries to keep rice prices relatively stable. </w:t>
      </w:r>
      <w:proofErr w:type="spellStart"/>
      <w:r>
        <w:t>Dorosh</w:t>
      </w:r>
      <w:proofErr w:type="spellEnd"/>
      <w:r>
        <w:t xml:space="preserve"> et al. (2004) write that immediately after the flood, household access to food was constrained by both availability of food in local markets and by limited purchasing power.  Yet, “…by late September in most of the country poor households had access to well-supplied markets (and) their food consumption was constrained by a lack of purchasing power rather than by a lack of availability per se” (p.171). After this rapid-onset flood, the new government trade policies dramatically improved food availability. </w:t>
      </w:r>
      <w:r w:rsidRPr="006C4B9D">
        <w:t xml:space="preserve">Drawn from </w:t>
      </w:r>
      <w:proofErr w:type="spellStart"/>
      <w:r w:rsidRPr="006C4B9D">
        <w:t>Dorosh</w:t>
      </w:r>
      <w:proofErr w:type="spellEnd"/>
      <w:r w:rsidRPr="006C4B9D">
        <w:t xml:space="preserve"> et al. </w:t>
      </w:r>
      <w:r>
        <w:t xml:space="preserve">(2004) </w:t>
      </w:r>
      <w:r w:rsidRPr="006C4B9D">
        <w:t xml:space="preserve">Chapter 6: Policy Response to Production shocks: the 1997/98 </w:t>
      </w:r>
      <w:proofErr w:type="spellStart"/>
      <w:r w:rsidRPr="006C4B9D">
        <w:t>Aman</w:t>
      </w:r>
      <w:proofErr w:type="spellEnd"/>
      <w:r w:rsidRPr="006C4B9D">
        <w:t xml:space="preserve"> shortfall and the 1998 flood” in </w:t>
      </w:r>
      <w:proofErr w:type="spellStart"/>
      <w:r w:rsidRPr="006C4B9D">
        <w:t>Dorosh</w:t>
      </w:r>
      <w:proofErr w:type="spellEnd"/>
      <w:r w:rsidRPr="006C4B9D">
        <w:t xml:space="preserve"> et al. </w:t>
      </w:r>
      <w:proofErr w:type="gramStart"/>
      <w:r w:rsidRPr="006C4B9D">
        <w:t>ed</w:t>
      </w:r>
      <w:proofErr w:type="gramEnd"/>
      <w:r w:rsidRPr="006C4B9D">
        <w:t>.</w:t>
      </w:r>
      <w:r>
        <w:rPr>
          <w:i/>
        </w:rPr>
        <w:t xml:space="preserve"> </w:t>
      </w:r>
      <w:proofErr w:type="gramStart"/>
      <w:r w:rsidRPr="00AB4E4D">
        <w:rPr>
          <w:i/>
        </w:rPr>
        <w:t>The 1998 Floods and Beyond.</w:t>
      </w:r>
      <w:proofErr w:type="gramEnd"/>
    </w:p>
    <w:p w14:paraId="2DC770BF" w14:textId="77777777" w:rsidR="003D7C60" w:rsidRDefault="003D7C60" w:rsidP="003D7C60"/>
    <w:p w14:paraId="573D0C9A" w14:textId="2A4E76ED" w:rsidR="003D7C60" w:rsidRPr="00063B1B" w:rsidRDefault="00063B1B" w:rsidP="003D7C60">
      <w:pPr>
        <w:rPr>
          <w:u w:val="single"/>
        </w:rPr>
      </w:pPr>
      <w:r>
        <w:rPr>
          <w:u w:val="single"/>
        </w:rPr>
        <w:t>G</w:t>
      </w:r>
      <w:r w:rsidR="003D7C60" w:rsidRPr="00063B1B">
        <w:rPr>
          <w:u w:val="single"/>
        </w:rPr>
        <w:t>overnment r</w:t>
      </w:r>
      <w:r w:rsidR="003D7C60" w:rsidRPr="00063B1B">
        <w:rPr>
          <w:bCs/>
          <w:u w:val="single"/>
        </w:rPr>
        <w:t>esponses to rising food prices in COMESA and ASARECA countries, 2008</w:t>
      </w:r>
    </w:p>
    <w:p w14:paraId="537DBB2E" w14:textId="77777777" w:rsidR="003D7C60" w:rsidRDefault="003D7C60" w:rsidP="003D7C60">
      <w:r>
        <w:t>Governments commonly rely on policies to respond to food prices. The chart below traces how governments in COMESA and ASARECA responded to the food price crisis of 2007-2008.</w:t>
      </w:r>
    </w:p>
    <w:p w14:paraId="1982AC47" w14:textId="77777777" w:rsidR="003D7C60" w:rsidRDefault="003D7C60" w:rsidP="003D7C60"/>
    <w:tbl>
      <w:tblPr>
        <w:tblW w:w="6660" w:type="dxa"/>
        <w:tblInd w:w="234" w:type="dxa"/>
        <w:tblCellMar>
          <w:left w:w="0" w:type="dxa"/>
          <w:right w:w="0" w:type="dxa"/>
        </w:tblCellMar>
        <w:tblLook w:val="0000" w:firstRow="0" w:lastRow="0" w:firstColumn="0" w:lastColumn="0" w:noHBand="0" w:noVBand="0"/>
      </w:tblPr>
      <w:tblGrid>
        <w:gridCol w:w="4140"/>
        <w:gridCol w:w="2520"/>
      </w:tblGrid>
      <w:tr w:rsidR="003D7C60" w:rsidRPr="00F66B09" w14:paraId="5C7673E8" w14:textId="77777777" w:rsidTr="00E1618A">
        <w:trPr>
          <w:trHeight w:val="259"/>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4517EE18" w14:textId="77777777" w:rsidR="003D7C60" w:rsidRPr="00F66B09" w:rsidRDefault="003D7C60" w:rsidP="00E1618A">
            <w:pPr>
              <w:rPr>
                <w:b/>
                <w:bCs/>
                <w:sz w:val="20"/>
              </w:rPr>
            </w:pP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4215E171" w14:textId="77777777" w:rsidR="003D7C60" w:rsidRPr="00F66B09" w:rsidRDefault="003D7C60" w:rsidP="00E1618A">
            <w:pPr>
              <w:rPr>
                <w:b/>
                <w:bCs/>
                <w:sz w:val="20"/>
              </w:rPr>
            </w:pPr>
            <w:r w:rsidRPr="00F66B09">
              <w:rPr>
                <w:b/>
                <w:bCs/>
                <w:sz w:val="20"/>
              </w:rPr>
              <w:t>Number of countries</w:t>
            </w:r>
          </w:p>
        </w:tc>
      </w:tr>
      <w:tr w:rsidR="003D7C60" w:rsidRPr="00F66B09" w14:paraId="3078C864" w14:textId="77777777" w:rsidTr="00E1618A">
        <w:trPr>
          <w:trHeight w:val="277"/>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47496C8A" w14:textId="77777777" w:rsidR="003D7C60" w:rsidRPr="00F66B09" w:rsidRDefault="003D7C60" w:rsidP="00E1618A">
            <w:pPr>
              <w:rPr>
                <w:sz w:val="20"/>
              </w:rPr>
            </w:pPr>
            <w:r w:rsidRPr="00F66B09">
              <w:rPr>
                <w:sz w:val="20"/>
              </w:rPr>
              <w:t>Reduce taxes on food grains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66D5BB21" w14:textId="77777777" w:rsidR="003D7C60" w:rsidRPr="00F66B09" w:rsidRDefault="003D7C60" w:rsidP="00E1618A">
            <w:pPr>
              <w:rPr>
                <w:sz w:val="20"/>
              </w:rPr>
            </w:pPr>
            <w:r w:rsidRPr="00F66B09">
              <w:rPr>
                <w:sz w:val="20"/>
              </w:rPr>
              <w:t>7</w:t>
            </w:r>
          </w:p>
        </w:tc>
      </w:tr>
      <w:tr w:rsidR="003D7C60" w:rsidRPr="00F66B09" w14:paraId="5C2F3671" w14:textId="77777777" w:rsidTr="00E1618A">
        <w:trPr>
          <w:trHeight w:val="295"/>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24AC7148" w14:textId="77777777" w:rsidR="003D7C60" w:rsidRPr="00F66B09" w:rsidRDefault="003D7C60" w:rsidP="00E1618A">
            <w:pPr>
              <w:rPr>
                <w:sz w:val="20"/>
              </w:rPr>
            </w:pPr>
            <w:r w:rsidRPr="00F66B09">
              <w:rPr>
                <w:sz w:val="20"/>
              </w:rPr>
              <w:t>Price controls/ consumer subsidies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06829F8A" w14:textId="77777777" w:rsidR="003D7C60" w:rsidRPr="00F66B09" w:rsidRDefault="003D7C60" w:rsidP="00E1618A">
            <w:pPr>
              <w:rPr>
                <w:sz w:val="20"/>
              </w:rPr>
            </w:pPr>
            <w:r w:rsidRPr="00F66B09">
              <w:rPr>
                <w:sz w:val="20"/>
              </w:rPr>
              <w:t>4</w:t>
            </w:r>
          </w:p>
        </w:tc>
      </w:tr>
      <w:tr w:rsidR="003D7C60" w:rsidRPr="00F66B09" w14:paraId="053962E9" w14:textId="77777777" w:rsidTr="00E1618A">
        <w:trPr>
          <w:trHeight w:val="277"/>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1A486791" w14:textId="77777777" w:rsidR="003D7C60" w:rsidRPr="00F66B09" w:rsidRDefault="003D7C60" w:rsidP="00E1618A">
            <w:pPr>
              <w:rPr>
                <w:sz w:val="20"/>
              </w:rPr>
            </w:pPr>
            <w:r w:rsidRPr="00F66B09">
              <w:rPr>
                <w:sz w:val="20"/>
              </w:rPr>
              <w:t>Fuel subsidies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66B9E956" w14:textId="77777777" w:rsidR="003D7C60" w:rsidRPr="00F66B09" w:rsidRDefault="003D7C60" w:rsidP="00E1618A">
            <w:pPr>
              <w:rPr>
                <w:sz w:val="20"/>
              </w:rPr>
            </w:pPr>
            <w:r w:rsidRPr="00F66B09">
              <w:rPr>
                <w:sz w:val="20"/>
              </w:rPr>
              <w:t>1</w:t>
            </w:r>
          </w:p>
        </w:tc>
      </w:tr>
      <w:tr w:rsidR="003D7C60" w:rsidRPr="00F66B09" w14:paraId="3C83003E" w14:textId="77777777" w:rsidTr="00E1618A">
        <w:trPr>
          <w:trHeight w:val="259"/>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05942FE2" w14:textId="77777777" w:rsidR="003D7C60" w:rsidRPr="00F66B09" w:rsidRDefault="003D7C60" w:rsidP="00E1618A">
            <w:pPr>
              <w:rPr>
                <w:sz w:val="20"/>
              </w:rPr>
            </w:pPr>
            <w:r w:rsidRPr="00F66B09">
              <w:rPr>
                <w:sz w:val="20"/>
              </w:rPr>
              <w:t>Increase supply using food grain stocks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20FD9D29" w14:textId="77777777" w:rsidR="003D7C60" w:rsidRPr="00F66B09" w:rsidRDefault="003D7C60" w:rsidP="00E1618A">
            <w:pPr>
              <w:rPr>
                <w:sz w:val="20"/>
              </w:rPr>
            </w:pPr>
            <w:r w:rsidRPr="00F66B09">
              <w:rPr>
                <w:sz w:val="20"/>
              </w:rPr>
              <w:t>4</w:t>
            </w:r>
          </w:p>
        </w:tc>
      </w:tr>
      <w:tr w:rsidR="003D7C60" w:rsidRPr="00F66B09" w14:paraId="48EBEDFF" w14:textId="77777777" w:rsidTr="00E1618A">
        <w:trPr>
          <w:trHeight w:val="205"/>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08AD15E8" w14:textId="77777777" w:rsidR="003D7C60" w:rsidRPr="00F66B09" w:rsidRDefault="003D7C60" w:rsidP="00E1618A">
            <w:pPr>
              <w:rPr>
                <w:sz w:val="20"/>
              </w:rPr>
            </w:pPr>
            <w:r w:rsidRPr="00F66B09">
              <w:rPr>
                <w:sz w:val="20"/>
              </w:rPr>
              <w:t>Increase supply via imports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732E0E6A" w14:textId="77777777" w:rsidR="003D7C60" w:rsidRPr="00F66B09" w:rsidRDefault="003D7C60" w:rsidP="00E1618A">
            <w:pPr>
              <w:rPr>
                <w:sz w:val="20"/>
              </w:rPr>
            </w:pPr>
            <w:r w:rsidRPr="00F66B09">
              <w:rPr>
                <w:sz w:val="20"/>
              </w:rPr>
              <w:t>2</w:t>
            </w:r>
          </w:p>
        </w:tc>
      </w:tr>
      <w:tr w:rsidR="003D7C60" w:rsidRPr="00F66B09" w14:paraId="4B787A29" w14:textId="77777777" w:rsidTr="00E1618A">
        <w:trPr>
          <w:trHeight w:val="223"/>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1E162249" w14:textId="77777777" w:rsidR="003D7C60" w:rsidRPr="00F66B09" w:rsidRDefault="003D7C60" w:rsidP="00E1618A">
            <w:pPr>
              <w:rPr>
                <w:sz w:val="20"/>
              </w:rPr>
            </w:pPr>
            <w:r w:rsidRPr="00F66B09">
              <w:rPr>
                <w:sz w:val="20"/>
              </w:rPr>
              <w:t>Export restrictions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522E0B68" w14:textId="77777777" w:rsidR="003D7C60" w:rsidRPr="00F66B09" w:rsidRDefault="003D7C60" w:rsidP="00E1618A">
            <w:pPr>
              <w:rPr>
                <w:sz w:val="20"/>
              </w:rPr>
            </w:pPr>
            <w:r w:rsidRPr="00F66B09">
              <w:rPr>
                <w:sz w:val="20"/>
              </w:rPr>
              <w:t>4</w:t>
            </w:r>
          </w:p>
        </w:tc>
      </w:tr>
      <w:tr w:rsidR="003D7C60" w:rsidRPr="00F66B09" w14:paraId="02E8DBF0" w14:textId="77777777" w:rsidTr="00E1618A">
        <w:trPr>
          <w:trHeight w:val="187"/>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67F34784" w14:textId="77777777" w:rsidR="003D7C60" w:rsidRPr="00F66B09" w:rsidRDefault="003D7C60" w:rsidP="00E1618A">
            <w:pPr>
              <w:rPr>
                <w:sz w:val="20"/>
              </w:rPr>
            </w:pPr>
            <w:r w:rsidRPr="00F66B09">
              <w:rPr>
                <w:sz w:val="20"/>
              </w:rPr>
              <w:t>Cash transfer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7B0B7DDF" w14:textId="77777777" w:rsidR="003D7C60" w:rsidRPr="00F66B09" w:rsidRDefault="003D7C60" w:rsidP="00E1618A">
            <w:pPr>
              <w:rPr>
                <w:sz w:val="20"/>
              </w:rPr>
            </w:pPr>
            <w:r w:rsidRPr="00F66B09">
              <w:rPr>
                <w:sz w:val="20"/>
              </w:rPr>
              <w:t>4</w:t>
            </w:r>
          </w:p>
        </w:tc>
      </w:tr>
      <w:tr w:rsidR="003D7C60" w:rsidRPr="00F66B09" w14:paraId="781A8857" w14:textId="77777777" w:rsidTr="00E1618A">
        <w:trPr>
          <w:trHeight w:val="232"/>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3A4A267B" w14:textId="77777777" w:rsidR="003D7C60" w:rsidRPr="00F66B09" w:rsidRDefault="003D7C60" w:rsidP="00E1618A">
            <w:pPr>
              <w:rPr>
                <w:sz w:val="20"/>
              </w:rPr>
            </w:pPr>
            <w:r w:rsidRPr="00F66B09">
              <w:rPr>
                <w:sz w:val="20"/>
              </w:rPr>
              <w:t>Food for work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49B3218A" w14:textId="77777777" w:rsidR="003D7C60" w:rsidRPr="00F66B09" w:rsidRDefault="003D7C60" w:rsidP="00E1618A">
            <w:pPr>
              <w:rPr>
                <w:sz w:val="20"/>
              </w:rPr>
            </w:pPr>
            <w:r w:rsidRPr="00F66B09">
              <w:rPr>
                <w:sz w:val="20"/>
              </w:rPr>
              <w:t>4</w:t>
            </w:r>
          </w:p>
        </w:tc>
      </w:tr>
      <w:tr w:rsidR="003D7C60" w:rsidRPr="00F66B09" w14:paraId="403C5575" w14:textId="77777777" w:rsidTr="00E1618A">
        <w:trPr>
          <w:trHeight w:val="115"/>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2CED7050" w14:textId="77777777" w:rsidR="003D7C60" w:rsidRPr="00F66B09" w:rsidRDefault="003D7C60" w:rsidP="00E1618A">
            <w:pPr>
              <w:rPr>
                <w:sz w:val="20"/>
              </w:rPr>
            </w:pPr>
            <w:r w:rsidRPr="00F66B09">
              <w:rPr>
                <w:sz w:val="20"/>
              </w:rPr>
              <w:t>Food ration/ stamp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2BFA6689" w14:textId="77777777" w:rsidR="003D7C60" w:rsidRPr="00F66B09" w:rsidRDefault="003D7C60" w:rsidP="00E1618A">
            <w:pPr>
              <w:rPr>
                <w:sz w:val="20"/>
              </w:rPr>
            </w:pPr>
            <w:r w:rsidRPr="00F66B09">
              <w:rPr>
                <w:sz w:val="20"/>
              </w:rPr>
              <w:t>4</w:t>
            </w:r>
          </w:p>
        </w:tc>
      </w:tr>
      <w:tr w:rsidR="003D7C60" w:rsidRPr="00F66B09" w14:paraId="1D17F2E2" w14:textId="77777777" w:rsidTr="00E1618A">
        <w:trPr>
          <w:trHeight w:val="169"/>
        </w:trPr>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65A7527A" w14:textId="77777777" w:rsidR="003D7C60" w:rsidRPr="00F66B09" w:rsidRDefault="003D7C60" w:rsidP="00E1618A">
            <w:pPr>
              <w:rPr>
                <w:sz w:val="20"/>
              </w:rPr>
            </w:pPr>
            <w:r w:rsidRPr="00F66B09">
              <w:rPr>
                <w:sz w:val="20"/>
              </w:rPr>
              <w:t>School feeding (+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14:paraId="5F13FE84" w14:textId="77777777" w:rsidR="003D7C60" w:rsidRPr="00F66B09" w:rsidRDefault="003D7C60" w:rsidP="00E1618A">
            <w:pPr>
              <w:rPr>
                <w:sz w:val="20"/>
              </w:rPr>
            </w:pPr>
            <w:r w:rsidRPr="00F66B09">
              <w:rPr>
                <w:sz w:val="20"/>
              </w:rPr>
              <w:t>5</w:t>
            </w:r>
          </w:p>
        </w:tc>
      </w:tr>
    </w:tbl>
    <w:p w14:paraId="3ACD9547" w14:textId="77777777" w:rsidR="003D7C60" w:rsidRDefault="003D7C60" w:rsidP="003D7C60">
      <w:pPr>
        <w:rPr>
          <w:highlight w:val="yellow"/>
        </w:rPr>
      </w:pPr>
    </w:p>
    <w:tbl>
      <w:tblPr>
        <w:tblW w:w="7740" w:type="dxa"/>
        <w:tblInd w:w="234" w:type="dxa"/>
        <w:tblCellMar>
          <w:left w:w="0" w:type="dxa"/>
          <w:right w:w="0" w:type="dxa"/>
        </w:tblCellMar>
        <w:tblLook w:val="0000" w:firstRow="0" w:lastRow="0" w:firstColumn="0" w:lastColumn="0" w:noHBand="0" w:noVBand="0"/>
      </w:tblPr>
      <w:tblGrid>
        <w:gridCol w:w="7740"/>
      </w:tblGrid>
      <w:tr w:rsidR="003D7C60" w:rsidRPr="00F66B09" w14:paraId="0D2AB894" w14:textId="77777777" w:rsidTr="00E1618A">
        <w:trPr>
          <w:trHeight w:val="248"/>
        </w:trPr>
        <w:tc>
          <w:tcPr>
            <w:tcW w:w="7740" w:type="dxa"/>
            <w:tcBorders>
              <w:top w:val="nil"/>
              <w:left w:val="nil"/>
              <w:bottom w:val="nil"/>
              <w:right w:val="nil"/>
            </w:tcBorders>
            <w:shd w:val="clear" w:color="auto" w:fill="auto"/>
            <w:tcMar>
              <w:top w:w="72" w:type="dxa"/>
              <w:left w:w="144" w:type="dxa"/>
              <w:bottom w:w="72" w:type="dxa"/>
              <w:right w:w="144" w:type="dxa"/>
            </w:tcMar>
            <w:vAlign w:val="bottom"/>
          </w:tcPr>
          <w:p w14:paraId="7BE4A213" w14:textId="77777777" w:rsidR="003D7C60" w:rsidRPr="00F66B09" w:rsidRDefault="003D7C60" w:rsidP="00E1618A">
            <w:pPr>
              <w:rPr>
                <w:sz w:val="20"/>
              </w:rPr>
            </w:pPr>
            <w:r w:rsidRPr="00F66B09">
              <w:rPr>
                <w:sz w:val="20"/>
              </w:rPr>
              <w:t>(+ + ) Consistent with long run policies to improve food security</w:t>
            </w:r>
          </w:p>
        </w:tc>
      </w:tr>
      <w:tr w:rsidR="003D7C60" w:rsidRPr="00F66B09" w14:paraId="4CCF4E17" w14:textId="77777777" w:rsidTr="00E1618A">
        <w:trPr>
          <w:trHeight w:val="248"/>
        </w:trPr>
        <w:tc>
          <w:tcPr>
            <w:tcW w:w="7740" w:type="dxa"/>
            <w:tcBorders>
              <w:top w:val="nil"/>
              <w:left w:val="nil"/>
              <w:bottom w:val="nil"/>
              <w:right w:val="nil"/>
            </w:tcBorders>
            <w:shd w:val="clear" w:color="auto" w:fill="auto"/>
            <w:tcMar>
              <w:top w:w="72" w:type="dxa"/>
              <w:left w:w="144" w:type="dxa"/>
              <w:bottom w:w="72" w:type="dxa"/>
              <w:right w:w="144" w:type="dxa"/>
            </w:tcMar>
            <w:vAlign w:val="bottom"/>
          </w:tcPr>
          <w:p w14:paraId="3AF7BB0A" w14:textId="77777777" w:rsidR="003D7C60" w:rsidRPr="00F66B09" w:rsidRDefault="003D7C60" w:rsidP="00E1618A">
            <w:pPr>
              <w:rPr>
                <w:sz w:val="20"/>
              </w:rPr>
            </w:pPr>
            <w:r w:rsidRPr="00F66B09">
              <w:rPr>
                <w:sz w:val="20"/>
              </w:rPr>
              <w:t>( + - ) Some concerns for food security;                 ( - + ) Likely to hinder food security</w:t>
            </w:r>
          </w:p>
        </w:tc>
      </w:tr>
      <w:tr w:rsidR="003D7C60" w:rsidRPr="00F66B09" w14:paraId="6AFDCEAD" w14:textId="77777777" w:rsidTr="00E1618A">
        <w:trPr>
          <w:trHeight w:val="248"/>
        </w:trPr>
        <w:tc>
          <w:tcPr>
            <w:tcW w:w="7740" w:type="dxa"/>
            <w:tcBorders>
              <w:top w:val="nil"/>
              <w:left w:val="nil"/>
              <w:bottom w:val="nil"/>
              <w:right w:val="nil"/>
            </w:tcBorders>
            <w:shd w:val="clear" w:color="auto" w:fill="auto"/>
            <w:tcMar>
              <w:top w:w="72" w:type="dxa"/>
              <w:left w:w="144" w:type="dxa"/>
              <w:bottom w:w="72" w:type="dxa"/>
              <w:right w:w="144" w:type="dxa"/>
            </w:tcMar>
            <w:vAlign w:val="bottom"/>
          </w:tcPr>
          <w:p w14:paraId="47F3B1EE" w14:textId="77777777" w:rsidR="003D7C60" w:rsidRPr="00F66B09" w:rsidRDefault="003D7C60" w:rsidP="00E1618A">
            <w:pPr>
              <w:rPr>
                <w:sz w:val="20"/>
              </w:rPr>
            </w:pPr>
            <w:r w:rsidRPr="00F66B09">
              <w:rPr>
                <w:sz w:val="20"/>
              </w:rPr>
              <w:t>( - - ) Highly likely to hinder food security</w:t>
            </w:r>
          </w:p>
        </w:tc>
      </w:tr>
    </w:tbl>
    <w:p w14:paraId="25EEAD2C" w14:textId="77777777" w:rsidR="003D7C60" w:rsidRDefault="003D7C60" w:rsidP="003D7C60"/>
    <w:p w14:paraId="5076413B" w14:textId="77777777" w:rsidR="003D7C60" w:rsidRDefault="003D7C60" w:rsidP="003D7C60">
      <w:r w:rsidRPr="003654C9">
        <w:lastRenderedPageBreak/>
        <w:t xml:space="preserve">Source: World Bank, 2008 from </w:t>
      </w:r>
      <w:r>
        <w:t>“</w:t>
      </w:r>
      <w:r w:rsidRPr="003654C9">
        <w:t>Improving the Performance of Staple Markets to Exploit the Productive Potential of Smallholder Agriculture</w:t>
      </w:r>
      <w:r>
        <w:t>”</w:t>
      </w:r>
      <w:r w:rsidRPr="003654C9">
        <w:t xml:space="preserve"> T. S. Jayne, A. </w:t>
      </w:r>
      <w:proofErr w:type="spellStart"/>
      <w:r w:rsidRPr="003654C9">
        <w:t>Chapoto</w:t>
      </w:r>
      <w:proofErr w:type="spellEnd"/>
      <w:r w:rsidRPr="003654C9">
        <w:t xml:space="preserve">, and B. </w:t>
      </w:r>
      <w:proofErr w:type="spellStart"/>
      <w:r w:rsidRPr="003654C9">
        <w:t>Shiferaw</w:t>
      </w:r>
      <w:proofErr w:type="spellEnd"/>
      <w:r>
        <w:t xml:space="preserve">. </w:t>
      </w:r>
    </w:p>
    <w:p w14:paraId="63B162E0" w14:textId="77777777" w:rsidR="003D7C60" w:rsidRDefault="003D7C60" w:rsidP="003D7C60"/>
    <w:p w14:paraId="2CAF7B19" w14:textId="77777777" w:rsidR="00163851" w:rsidRDefault="00163851" w:rsidP="00163851">
      <w:pPr>
        <w:tabs>
          <w:tab w:val="left" w:pos="360"/>
        </w:tabs>
      </w:pPr>
    </w:p>
    <w:p w14:paraId="372F0874" w14:textId="2848DCC8" w:rsidR="004F2E08" w:rsidRDefault="004F2E08" w:rsidP="00DD7735">
      <w:pPr>
        <w:rPr>
          <w:b/>
        </w:rPr>
      </w:pPr>
      <w:r>
        <w:rPr>
          <w:b/>
        </w:rPr>
        <w:t>Sources of policy risk</w:t>
      </w:r>
    </w:p>
    <w:p w14:paraId="46F940CE" w14:textId="607B8DD9" w:rsidR="00DD7735" w:rsidRPr="004F2E08" w:rsidRDefault="005D4F2D" w:rsidP="00DD7735">
      <w:pPr>
        <w:rPr>
          <w:b/>
        </w:rPr>
      </w:pPr>
      <w:r w:rsidRPr="004F2E08">
        <w:t>Interveni</w:t>
      </w:r>
      <w:r w:rsidR="004F2E08" w:rsidRPr="004F2E08">
        <w:t>ng in food markets is difficult.</w:t>
      </w:r>
      <w:r w:rsidR="004F2E08">
        <w:t xml:space="preserve"> </w:t>
      </w:r>
      <w:r w:rsidR="00E36FDF">
        <w:t xml:space="preserve">The outcomes of the above policies depend on the policy making authority’s </w:t>
      </w:r>
      <w:r w:rsidR="00D828D9">
        <w:t>enforcement capacity</w:t>
      </w:r>
      <w:r w:rsidR="00E36FDF">
        <w:t>.</w:t>
      </w:r>
      <w:r w:rsidR="00E73DC1">
        <w:t xml:space="preserve"> </w:t>
      </w:r>
      <w:r w:rsidR="00DD7735">
        <w:t>To assess the s</w:t>
      </w:r>
      <w:r w:rsidR="00DD7735" w:rsidRPr="00D3541D">
        <w:t>ources of policy risk for traders</w:t>
      </w:r>
      <w:r w:rsidR="00DD7735">
        <w:t xml:space="preserve"> consider:</w:t>
      </w:r>
    </w:p>
    <w:p w14:paraId="6337F860" w14:textId="77777777" w:rsidR="00DD7735" w:rsidRDefault="00DD7735" w:rsidP="00DD7735">
      <w:pPr>
        <w:numPr>
          <w:ilvl w:val="0"/>
          <w:numId w:val="34"/>
        </w:numPr>
        <w:tabs>
          <w:tab w:val="left" w:pos="360"/>
        </w:tabs>
      </w:pPr>
      <w:r>
        <w:t xml:space="preserve">Does the government / local </w:t>
      </w:r>
      <w:proofErr w:type="gramStart"/>
      <w:r>
        <w:t>authority frequently change</w:t>
      </w:r>
      <w:proofErr w:type="gramEnd"/>
      <w:r>
        <w:t xml:space="preserve"> its food and trade policies?  </w:t>
      </w:r>
    </w:p>
    <w:p w14:paraId="75405709" w14:textId="77777777" w:rsidR="00DD7735" w:rsidRDefault="00DD7735" w:rsidP="00DD7735">
      <w:pPr>
        <w:numPr>
          <w:ilvl w:val="0"/>
          <w:numId w:val="34"/>
        </w:numPr>
        <w:tabs>
          <w:tab w:val="left" w:pos="360"/>
        </w:tabs>
      </w:pPr>
      <w:r>
        <w:t>Is there speculation about significant policy change (i.e., policy risk to traders)?</w:t>
      </w:r>
    </w:p>
    <w:p w14:paraId="4057DE25" w14:textId="0B24811D" w:rsidR="00DD7735" w:rsidRDefault="00DD7735" w:rsidP="00DD7735">
      <w:pPr>
        <w:numPr>
          <w:ilvl w:val="0"/>
          <w:numId w:val="34"/>
        </w:numPr>
        <w:tabs>
          <w:tab w:val="left" w:pos="360"/>
        </w:tabs>
      </w:pPr>
      <w:r>
        <w:t>Does the policy-making authority</w:t>
      </w:r>
      <w:r w:rsidR="00D828D9">
        <w:t xml:space="preserve"> provide adequate warning before</w:t>
      </w:r>
      <w:r>
        <w:t xml:space="preserve"> </w:t>
      </w:r>
      <w:r w:rsidR="00D828D9">
        <w:t xml:space="preserve">policy changes are </w:t>
      </w:r>
      <w:r>
        <w:t>announce</w:t>
      </w:r>
      <w:r w:rsidR="00D828D9">
        <w:t>d?</w:t>
      </w:r>
      <w:r>
        <w:t xml:space="preserve"> </w:t>
      </w:r>
    </w:p>
    <w:p w14:paraId="05F1FE3F" w14:textId="77777777" w:rsidR="00DD7735" w:rsidRDefault="00DD7735" w:rsidP="00DD7735">
      <w:pPr>
        <w:numPr>
          <w:ilvl w:val="0"/>
          <w:numId w:val="34"/>
        </w:numPr>
        <w:tabs>
          <w:tab w:val="left" w:pos="360"/>
        </w:tabs>
      </w:pPr>
      <w:r>
        <w:t>Are policies generally implemented, and if so, are they enforced evenly across populations and regions?</w:t>
      </w:r>
    </w:p>
    <w:p w14:paraId="2FB37155" w14:textId="77777777" w:rsidR="00DD7735" w:rsidRDefault="00DD7735" w:rsidP="00DD7735">
      <w:pPr>
        <w:numPr>
          <w:ilvl w:val="0"/>
          <w:numId w:val="34"/>
        </w:numPr>
        <w:tabs>
          <w:tab w:val="left" w:pos="360"/>
        </w:tabs>
      </w:pPr>
      <w:r>
        <w:t>Has popular protest changed policy-implementation?</w:t>
      </w:r>
    </w:p>
    <w:p w14:paraId="120F976F" w14:textId="77777777" w:rsidR="00DD7735" w:rsidRDefault="00DD7735" w:rsidP="00DD7735">
      <w:pPr>
        <w:numPr>
          <w:ilvl w:val="0"/>
          <w:numId w:val="34"/>
        </w:numPr>
        <w:tabs>
          <w:tab w:val="left" w:pos="360"/>
        </w:tabs>
      </w:pPr>
      <w:r>
        <w:t>Is corruption pervasive?</w:t>
      </w:r>
    </w:p>
    <w:p w14:paraId="7B3130B9" w14:textId="77777777" w:rsidR="00E73DC1" w:rsidRDefault="00E73DC1" w:rsidP="00885D47"/>
    <w:p w14:paraId="29271A47" w14:textId="20768C67" w:rsidR="007F3660" w:rsidRDefault="00E73DC1" w:rsidP="00E73DC1">
      <w:r>
        <w:t>The more accountable, stable, and transparent the policy making authority is, the less policy risk for traders. If policy authorities frequently change policies unannounced, traders and producers may be reluctant to take on additional trading risk. Policies that increase price volatility are particularly damaging for food markets. In fact, sharply fluctuating prices suggest weak underlying food storage and marketing systems and can be a proxy indicator of food insecurity (</w:t>
      </w:r>
      <w:proofErr w:type="spellStart"/>
      <w:r>
        <w:t>Timmer</w:t>
      </w:r>
      <w:proofErr w:type="spellEnd"/>
      <w:r>
        <w:t xml:space="preserve"> 1989</w:t>
      </w:r>
      <w:r w:rsidR="00D828D9">
        <w:t>;</w:t>
      </w:r>
      <w:r w:rsidR="005201E5">
        <w:t xml:space="preserve"> Barrett</w:t>
      </w:r>
      <w:r>
        <w:t xml:space="preserve"> 2002). While higher prices harm access and lower prices hinder availability, volatile prices </w:t>
      </w:r>
      <w:r w:rsidR="00957A2F">
        <w:t xml:space="preserve">can </w:t>
      </w:r>
      <w:r>
        <w:t>cause economy</w:t>
      </w:r>
      <w:r w:rsidR="00CC69BC">
        <w:t>-wide disincentives</w:t>
      </w:r>
      <w:r>
        <w:t>.</w:t>
      </w:r>
      <w:r w:rsidR="00CC69BC">
        <w:t xml:space="preserve"> The welfare effects of price volatility are complex, but generally, price volatility harms net producers but it has ambiguous effects on net consumers.</w:t>
      </w:r>
    </w:p>
    <w:p w14:paraId="5C27CD04" w14:textId="77777777" w:rsidR="007F3660" w:rsidRDefault="007F3660" w:rsidP="00E73DC1"/>
    <w:p w14:paraId="7DF0E745" w14:textId="56EC2F55" w:rsidR="00E73DC1" w:rsidRDefault="007F3660" w:rsidP="00E73DC1">
      <w:r>
        <w:t>Furthermor</w:t>
      </w:r>
      <w:r w:rsidR="008B7D05">
        <w:t xml:space="preserve">e, a host of </w:t>
      </w:r>
      <w:r w:rsidR="00CC69BC">
        <w:t xml:space="preserve">mutually inconsistent </w:t>
      </w:r>
      <w:r w:rsidR="008B7D05">
        <w:t xml:space="preserve">policies may be implemented and these policies not be aligned, meaning that one policy has an effect countervailed by another policy. Or, </w:t>
      </w:r>
      <w:r w:rsidR="00D828D9">
        <w:t xml:space="preserve">the </w:t>
      </w:r>
      <w:r w:rsidR="008B7D05">
        <w:t xml:space="preserve">short-run intentions of a policy may adversely affect longer-term policy goals. </w:t>
      </w:r>
    </w:p>
    <w:p w14:paraId="210A2E18" w14:textId="77777777" w:rsidR="00885D47" w:rsidRDefault="00885D47" w:rsidP="00885D47"/>
    <w:p w14:paraId="751DE1A7" w14:textId="77777777" w:rsidR="002374EF" w:rsidRDefault="002374EF" w:rsidP="002374EF">
      <w:r>
        <w:t xml:space="preserve">Formal policies may not be enforced. Or, policies may be enforced for some market actors but not others. Ultimately, the true effect of each policy on food markets will vary across contexts depending on policy implementation, and depending on how individuals and institutions respond to these policies. </w:t>
      </w:r>
    </w:p>
    <w:p w14:paraId="0AA15E01" w14:textId="77777777" w:rsidR="002374EF" w:rsidRDefault="002374EF" w:rsidP="002374EF"/>
    <w:p w14:paraId="053A139B" w14:textId="77777777" w:rsidR="00F455F8" w:rsidRPr="0085486E" w:rsidRDefault="00F455F8" w:rsidP="0085486E">
      <w:pPr>
        <w:numPr>
          <w:ilvl w:val="1"/>
          <w:numId w:val="49"/>
        </w:numPr>
      </w:pPr>
      <w:r w:rsidRPr="0085486E">
        <w:t>Trade policy outcomes depend on number of factors aside from policy design:</w:t>
      </w:r>
    </w:p>
    <w:p w14:paraId="200EDE61" w14:textId="77777777" w:rsidR="00F455F8" w:rsidRPr="0085486E" w:rsidRDefault="00F455F8" w:rsidP="0085486E">
      <w:pPr>
        <w:numPr>
          <w:ilvl w:val="2"/>
          <w:numId w:val="49"/>
        </w:numPr>
      </w:pPr>
      <w:r w:rsidRPr="0085486E">
        <w:t>Implementation, institutional strength, enforcement</w:t>
      </w:r>
    </w:p>
    <w:p w14:paraId="7575E422" w14:textId="77777777" w:rsidR="00F455F8" w:rsidRPr="0085486E" w:rsidRDefault="00F455F8" w:rsidP="0085486E">
      <w:pPr>
        <w:numPr>
          <w:ilvl w:val="2"/>
          <w:numId w:val="49"/>
        </w:numPr>
      </w:pPr>
      <w:r w:rsidRPr="0085486E">
        <w:t>Transparency and responsiveness of policymakers</w:t>
      </w:r>
    </w:p>
    <w:p w14:paraId="46BDF5B2" w14:textId="77777777" w:rsidR="00F455F8" w:rsidRPr="0085486E" w:rsidRDefault="00F455F8" w:rsidP="0085486E">
      <w:pPr>
        <w:numPr>
          <w:ilvl w:val="2"/>
          <w:numId w:val="49"/>
        </w:numPr>
      </w:pPr>
      <w:r w:rsidRPr="0085486E">
        <w:lastRenderedPageBreak/>
        <w:t>Stability / fickleness of policy regimes</w:t>
      </w:r>
    </w:p>
    <w:p w14:paraId="0087858F" w14:textId="77777777" w:rsidR="00F455F8" w:rsidRPr="0085486E" w:rsidRDefault="00F455F8" w:rsidP="0085486E">
      <w:pPr>
        <w:numPr>
          <w:ilvl w:val="1"/>
          <w:numId w:val="49"/>
        </w:numPr>
      </w:pPr>
      <w:r w:rsidRPr="0085486E">
        <w:t>Traders face policy risk:</w:t>
      </w:r>
    </w:p>
    <w:p w14:paraId="6A1B74E5" w14:textId="77777777" w:rsidR="00F455F8" w:rsidRPr="0085486E" w:rsidRDefault="00F455F8" w:rsidP="0085486E">
      <w:pPr>
        <w:numPr>
          <w:ilvl w:val="2"/>
          <w:numId w:val="49"/>
        </w:numPr>
      </w:pPr>
      <w:r w:rsidRPr="0085486E">
        <w:t>Lack of transparency</w:t>
      </w:r>
    </w:p>
    <w:p w14:paraId="3A606D01" w14:textId="77777777" w:rsidR="00F455F8" w:rsidRPr="0085486E" w:rsidRDefault="00F455F8" w:rsidP="0085486E">
      <w:pPr>
        <w:numPr>
          <w:ilvl w:val="2"/>
          <w:numId w:val="49"/>
        </w:numPr>
      </w:pPr>
      <w:r w:rsidRPr="0085486E">
        <w:t>Lack of predictability</w:t>
      </w:r>
    </w:p>
    <w:p w14:paraId="20428F50" w14:textId="77777777" w:rsidR="00F455F8" w:rsidRPr="0085486E" w:rsidRDefault="00F455F8" w:rsidP="0085486E">
      <w:pPr>
        <w:numPr>
          <w:ilvl w:val="2"/>
          <w:numId w:val="49"/>
        </w:numPr>
      </w:pPr>
      <w:r w:rsidRPr="0085486E">
        <w:t>Variable enforcement</w:t>
      </w:r>
    </w:p>
    <w:p w14:paraId="2EBD1546" w14:textId="77777777" w:rsidR="0085486E" w:rsidRDefault="0085486E" w:rsidP="0085486E"/>
    <w:p w14:paraId="41C002D7" w14:textId="11660692" w:rsidR="007C04FF" w:rsidRPr="00E12A8A" w:rsidRDefault="007C04FF" w:rsidP="007C04FF">
      <w:pPr>
        <w:rPr>
          <w:b/>
        </w:rPr>
      </w:pPr>
      <w:r w:rsidRPr="00E12A8A">
        <w:rPr>
          <w:b/>
        </w:rPr>
        <w:t>Sources of info</w:t>
      </w:r>
      <w:r>
        <w:rPr>
          <w:b/>
        </w:rPr>
        <w:t>rmation</w:t>
      </w:r>
      <w:r w:rsidR="00191EA1">
        <w:rPr>
          <w:b/>
        </w:rPr>
        <w:t xml:space="preserve"> about </w:t>
      </w:r>
      <w:r w:rsidR="00EA0BF9">
        <w:rPr>
          <w:b/>
        </w:rPr>
        <w:t xml:space="preserve">likely effects of </w:t>
      </w:r>
      <w:r w:rsidR="00191EA1">
        <w:rPr>
          <w:b/>
        </w:rPr>
        <w:t>policy changes:</w:t>
      </w:r>
    </w:p>
    <w:p w14:paraId="7E39C5DF" w14:textId="77777777" w:rsidR="007C04FF" w:rsidRDefault="007C04FF" w:rsidP="007C04FF">
      <w:pPr>
        <w:pStyle w:val="ListParagraph"/>
        <w:numPr>
          <w:ilvl w:val="0"/>
          <w:numId w:val="11"/>
        </w:numPr>
      </w:pPr>
      <w:r w:rsidRPr="005F12A6">
        <w:t>Secondary sources</w:t>
      </w:r>
      <w:r>
        <w:t xml:space="preserve"> of information</w:t>
      </w:r>
      <w:r w:rsidRPr="005F12A6">
        <w:t xml:space="preserve"> on previous </w:t>
      </w:r>
      <w:r>
        <w:t xml:space="preserve">and current </w:t>
      </w:r>
      <w:r w:rsidRPr="005F12A6">
        <w:t>governmental policies can be found on government websites and</w:t>
      </w:r>
      <w:r>
        <w:t xml:space="preserve"> in IMF and</w:t>
      </w:r>
      <w:r w:rsidRPr="005F12A6">
        <w:t xml:space="preserve"> World Bank</w:t>
      </w:r>
      <w:r>
        <w:t xml:space="preserve"> reports (e.g., the annual Cost of Doing Business report)</w:t>
      </w:r>
      <w:r w:rsidRPr="005F12A6">
        <w:t xml:space="preserve">. </w:t>
      </w:r>
      <w:r>
        <w:t>Analysis of t</w:t>
      </w:r>
      <w:r w:rsidRPr="005F12A6">
        <w:t xml:space="preserve">he effect of these policies may also be </w:t>
      </w:r>
      <w:r>
        <w:t>found</w:t>
      </w:r>
      <w:r w:rsidRPr="005F12A6">
        <w:t xml:space="preserve"> in academic and gray literature.</w:t>
      </w:r>
    </w:p>
    <w:p w14:paraId="0968FF11" w14:textId="77777777" w:rsidR="007C04FF" w:rsidRDefault="007C04FF" w:rsidP="007C04FF">
      <w:pPr>
        <w:pStyle w:val="ListParagraph"/>
        <w:numPr>
          <w:ilvl w:val="0"/>
          <w:numId w:val="11"/>
        </w:numPr>
      </w:pPr>
      <w:r>
        <w:t>Once the relevant policies have been identified, discussions with traders will help reveal whether these policies create constraints or generate risk for traders.</w:t>
      </w:r>
    </w:p>
    <w:p w14:paraId="1C0DD6D1" w14:textId="77777777" w:rsidR="007C04FF" w:rsidRDefault="007C04FF" w:rsidP="007C04FF">
      <w:pPr>
        <w:pStyle w:val="ListParagraph"/>
        <w:numPr>
          <w:ilvl w:val="0"/>
          <w:numId w:val="11"/>
        </w:numPr>
      </w:pPr>
      <w:r>
        <w:t xml:space="preserve">Key informant interviews with </w:t>
      </w:r>
      <w:r w:rsidRPr="002F1421">
        <w:t xml:space="preserve">government officials, local NGOs, bankers, transporters, etc. </w:t>
      </w:r>
      <w:r>
        <w:t>can also provide valuable information</w:t>
      </w:r>
      <w:r w:rsidRPr="002F1421">
        <w:t xml:space="preserve">. </w:t>
      </w:r>
    </w:p>
    <w:p w14:paraId="59F6C6C6" w14:textId="77777777" w:rsidR="007C04FF" w:rsidRDefault="007C04FF" w:rsidP="007C04FF">
      <w:pPr>
        <w:pStyle w:val="ListParagraph"/>
        <w:numPr>
          <w:ilvl w:val="1"/>
          <w:numId w:val="11"/>
        </w:numPr>
      </w:pPr>
      <w:r>
        <w:rPr>
          <w:szCs w:val="20"/>
        </w:rPr>
        <w:t>T</w:t>
      </w:r>
      <w:r w:rsidRPr="005F12A6">
        <w:rPr>
          <w:szCs w:val="20"/>
        </w:rPr>
        <w:t xml:space="preserve">opics such as informal policies or sources of policy risk will be best answered by traders or key informants with knowledge of market actors. </w:t>
      </w:r>
    </w:p>
    <w:p w14:paraId="6B347245" w14:textId="77777777" w:rsidR="007C04FF" w:rsidRPr="00BA12DD" w:rsidRDefault="007C04FF" w:rsidP="007C04FF">
      <w:pPr>
        <w:pStyle w:val="ListParagraph"/>
        <w:numPr>
          <w:ilvl w:val="1"/>
          <w:numId w:val="11"/>
        </w:numPr>
      </w:pPr>
      <w:r w:rsidRPr="002F1421">
        <w:t xml:space="preserve">See K. </w:t>
      </w:r>
      <w:r w:rsidRPr="005B0112">
        <w:rPr>
          <w:color w:val="000000"/>
        </w:rPr>
        <w:t xml:space="preserve">Kumar (1989). </w:t>
      </w:r>
      <w:r w:rsidRPr="005B0112">
        <w:rPr>
          <w:i/>
          <w:iCs/>
          <w:color w:val="000000"/>
        </w:rPr>
        <w:t xml:space="preserve">Conducting key informant interviews in developing countries </w:t>
      </w:r>
      <w:r w:rsidRPr="005B0112">
        <w:rPr>
          <w:iCs/>
          <w:color w:val="000000"/>
        </w:rPr>
        <w:t>(W</w:t>
      </w:r>
      <w:r w:rsidRPr="005B0112">
        <w:rPr>
          <w:color w:val="000000"/>
        </w:rPr>
        <w:t xml:space="preserve">ashington, </w:t>
      </w:r>
      <w:r w:rsidRPr="005F12A6">
        <w:rPr>
          <w:color w:val="000000"/>
        </w:rPr>
        <w:t>D.C.: USAID) for good guidelines on key interviewing techniques.</w:t>
      </w:r>
    </w:p>
    <w:p w14:paraId="15719724" w14:textId="77777777" w:rsidR="007C04FF" w:rsidRPr="0085486E" w:rsidRDefault="007C04FF" w:rsidP="0085486E"/>
    <w:sectPr w:rsidR="007C04FF" w:rsidRPr="0085486E" w:rsidSect="00721B2A">
      <w:footerReference w:type="even" r:id="rId28"/>
      <w:footerReference w:type="default" r:id="rId2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BECB3" w14:textId="77777777" w:rsidR="00E1618A" w:rsidRDefault="00E1618A" w:rsidP="00982414">
      <w:r>
        <w:separator/>
      </w:r>
    </w:p>
  </w:endnote>
  <w:endnote w:type="continuationSeparator" w:id="0">
    <w:p w14:paraId="08F0F42A" w14:textId="77777777" w:rsidR="00E1618A" w:rsidRDefault="00E1618A" w:rsidP="009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AA22" w14:textId="77777777" w:rsidR="00E1618A" w:rsidRDefault="00E1618A" w:rsidP="0072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9BC0E" w14:textId="77777777" w:rsidR="00E1618A" w:rsidRDefault="00E1618A" w:rsidP="00442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BA2F2" w14:textId="77777777" w:rsidR="00E1618A" w:rsidRDefault="00E1618A" w:rsidP="0072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9D5">
      <w:rPr>
        <w:rStyle w:val="PageNumber"/>
        <w:noProof/>
      </w:rPr>
      <w:t>10</w:t>
    </w:r>
    <w:r>
      <w:rPr>
        <w:rStyle w:val="PageNumber"/>
      </w:rPr>
      <w:fldChar w:fldCharType="end"/>
    </w:r>
  </w:p>
  <w:p w14:paraId="7556CDB7" w14:textId="77777777" w:rsidR="00E1618A" w:rsidRDefault="00E1618A" w:rsidP="004424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0D89" w14:textId="77777777" w:rsidR="00E1618A" w:rsidRDefault="00E1618A" w:rsidP="00982414">
      <w:r>
        <w:separator/>
      </w:r>
    </w:p>
  </w:footnote>
  <w:footnote w:type="continuationSeparator" w:id="0">
    <w:p w14:paraId="1D8D99E3" w14:textId="77777777" w:rsidR="00E1618A" w:rsidRDefault="00E1618A" w:rsidP="009824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67F"/>
    <w:multiLevelType w:val="hybridMultilevel"/>
    <w:tmpl w:val="05340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F0D4C"/>
    <w:multiLevelType w:val="hybridMultilevel"/>
    <w:tmpl w:val="E3A025A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F4283B"/>
    <w:multiLevelType w:val="hybridMultilevel"/>
    <w:tmpl w:val="428E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F39BF"/>
    <w:multiLevelType w:val="hybridMultilevel"/>
    <w:tmpl w:val="2BD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C0E66"/>
    <w:multiLevelType w:val="hybridMultilevel"/>
    <w:tmpl w:val="100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E52C5"/>
    <w:multiLevelType w:val="hybridMultilevel"/>
    <w:tmpl w:val="479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B0F1D"/>
    <w:multiLevelType w:val="hybridMultilevel"/>
    <w:tmpl w:val="F5F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F1664"/>
    <w:multiLevelType w:val="hybridMultilevel"/>
    <w:tmpl w:val="40C8950C"/>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12E9381D"/>
    <w:multiLevelType w:val="hybridMultilevel"/>
    <w:tmpl w:val="D1740F9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55F1F"/>
    <w:multiLevelType w:val="hybridMultilevel"/>
    <w:tmpl w:val="01846550"/>
    <w:lvl w:ilvl="0" w:tplc="4232DF6A">
      <w:start w:val="1"/>
      <w:numFmt w:val="bullet"/>
      <w:lvlText w:val="•"/>
      <w:lvlJc w:val="left"/>
      <w:pPr>
        <w:tabs>
          <w:tab w:val="num" w:pos="720"/>
        </w:tabs>
        <w:ind w:left="720" w:hanging="360"/>
      </w:pPr>
      <w:rPr>
        <w:rFonts w:ascii="Garamond" w:hAnsi="Garamond" w:hint="default"/>
      </w:rPr>
    </w:lvl>
    <w:lvl w:ilvl="1" w:tplc="6636B2D4">
      <w:start w:val="1"/>
      <w:numFmt w:val="bullet"/>
      <w:lvlText w:val="•"/>
      <w:lvlJc w:val="left"/>
      <w:pPr>
        <w:tabs>
          <w:tab w:val="num" w:pos="1440"/>
        </w:tabs>
        <w:ind w:left="1440" w:hanging="360"/>
      </w:pPr>
      <w:rPr>
        <w:rFonts w:ascii="Garamond" w:hAnsi="Garamond" w:hint="default"/>
      </w:rPr>
    </w:lvl>
    <w:lvl w:ilvl="2" w:tplc="135AAFAE">
      <w:numFmt w:val="bullet"/>
      <w:lvlText w:val="•"/>
      <w:lvlJc w:val="left"/>
      <w:pPr>
        <w:tabs>
          <w:tab w:val="num" w:pos="2160"/>
        </w:tabs>
        <w:ind w:left="2160" w:hanging="360"/>
      </w:pPr>
      <w:rPr>
        <w:rFonts w:ascii="Garamond" w:hAnsi="Garamond" w:hint="default"/>
      </w:rPr>
    </w:lvl>
    <w:lvl w:ilvl="3" w:tplc="255200D2" w:tentative="1">
      <w:start w:val="1"/>
      <w:numFmt w:val="bullet"/>
      <w:lvlText w:val="•"/>
      <w:lvlJc w:val="left"/>
      <w:pPr>
        <w:tabs>
          <w:tab w:val="num" w:pos="2880"/>
        </w:tabs>
        <w:ind w:left="2880" w:hanging="360"/>
      </w:pPr>
      <w:rPr>
        <w:rFonts w:ascii="Garamond" w:hAnsi="Garamond" w:hint="default"/>
      </w:rPr>
    </w:lvl>
    <w:lvl w:ilvl="4" w:tplc="BDFAC5C0" w:tentative="1">
      <w:start w:val="1"/>
      <w:numFmt w:val="bullet"/>
      <w:lvlText w:val="•"/>
      <w:lvlJc w:val="left"/>
      <w:pPr>
        <w:tabs>
          <w:tab w:val="num" w:pos="3600"/>
        </w:tabs>
        <w:ind w:left="3600" w:hanging="360"/>
      </w:pPr>
      <w:rPr>
        <w:rFonts w:ascii="Garamond" w:hAnsi="Garamond" w:hint="default"/>
      </w:rPr>
    </w:lvl>
    <w:lvl w:ilvl="5" w:tplc="CEF07914" w:tentative="1">
      <w:start w:val="1"/>
      <w:numFmt w:val="bullet"/>
      <w:lvlText w:val="•"/>
      <w:lvlJc w:val="left"/>
      <w:pPr>
        <w:tabs>
          <w:tab w:val="num" w:pos="4320"/>
        </w:tabs>
        <w:ind w:left="4320" w:hanging="360"/>
      </w:pPr>
      <w:rPr>
        <w:rFonts w:ascii="Garamond" w:hAnsi="Garamond" w:hint="default"/>
      </w:rPr>
    </w:lvl>
    <w:lvl w:ilvl="6" w:tplc="5BC03E4A" w:tentative="1">
      <w:start w:val="1"/>
      <w:numFmt w:val="bullet"/>
      <w:lvlText w:val="•"/>
      <w:lvlJc w:val="left"/>
      <w:pPr>
        <w:tabs>
          <w:tab w:val="num" w:pos="5040"/>
        </w:tabs>
        <w:ind w:left="5040" w:hanging="360"/>
      </w:pPr>
      <w:rPr>
        <w:rFonts w:ascii="Garamond" w:hAnsi="Garamond" w:hint="default"/>
      </w:rPr>
    </w:lvl>
    <w:lvl w:ilvl="7" w:tplc="24A2BCE6" w:tentative="1">
      <w:start w:val="1"/>
      <w:numFmt w:val="bullet"/>
      <w:lvlText w:val="•"/>
      <w:lvlJc w:val="left"/>
      <w:pPr>
        <w:tabs>
          <w:tab w:val="num" w:pos="5760"/>
        </w:tabs>
        <w:ind w:left="5760" w:hanging="360"/>
      </w:pPr>
      <w:rPr>
        <w:rFonts w:ascii="Garamond" w:hAnsi="Garamond" w:hint="default"/>
      </w:rPr>
    </w:lvl>
    <w:lvl w:ilvl="8" w:tplc="761A26CA" w:tentative="1">
      <w:start w:val="1"/>
      <w:numFmt w:val="bullet"/>
      <w:lvlText w:val="•"/>
      <w:lvlJc w:val="left"/>
      <w:pPr>
        <w:tabs>
          <w:tab w:val="num" w:pos="6480"/>
        </w:tabs>
        <w:ind w:left="6480" w:hanging="360"/>
      </w:pPr>
      <w:rPr>
        <w:rFonts w:ascii="Garamond" w:hAnsi="Garamond" w:hint="default"/>
      </w:rPr>
    </w:lvl>
  </w:abstractNum>
  <w:abstractNum w:abstractNumId="10">
    <w:nsid w:val="17F964D4"/>
    <w:multiLevelType w:val="hybridMultilevel"/>
    <w:tmpl w:val="3C16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B20C3"/>
    <w:multiLevelType w:val="hybridMultilevel"/>
    <w:tmpl w:val="1AC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11FC7"/>
    <w:multiLevelType w:val="hybridMultilevel"/>
    <w:tmpl w:val="877C43D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1C9E1F13"/>
    <w:multiLevelType w:val="hybridMultilevel"/>
    <w:tmpl w:val="ACD0480E"/>
    <w:lvl w:ilvl="0" w:tplc="945ADE8C">
      <w:start w:val="1"/>
      <w:numFmt w:val="bullet"/>
      <w:lvlText w:val="•"/>
      <w:lvlJc w:val="left"/>
      <w:pPr>
        <w:tabs>
          <w:tab w:val="num" w:pos="720"/>
        </w:tabs>
        <w:ind w:left="720" w:hanging="360"/>
      </w:pPr>
      <w:rPr>
        <w:rFonts w:ascii="Garamond" w:hAnsi="Garamond" w:hint="default"/>
      </w:rPr>
    </w:lvl>
    <w:lvl w:ilvl="1" w:tplc="5E3CAE6E">
      <w:start w:val="1"/>
      <w:numFmt w:val="bullet"/>
      <w:lvlText w:val="•"/>
      <w:lvlJc w:val="left"/>
      <w:pPr>
        <w:tabs>
          <w:tab w:val="num" w:pos="1440"/>
        </w:tabs>
        <w:ind w:left="1440" w:hanging="360"/>
      </w:pPr>
      <w:rPr>
        <w:rFonts w:ascii="Garamond" w:hAnsi="Garamond" w:hint="default"/>
      </w:rPr>
    </w:lvl>
    <w:lvl w:ilvl="2" w:tplc="5964EAB4">
      <w:numFmt w:val="bullet"/>
      <w:lvlText w:val="•"/>
      <w:lvlJc w:val="left"/>
      <w:pPr>
        <w:tabs>
          <w:tab w:val="num" w:pos="2160"/>
        </w:tabs>
        <w:ind w:left="2160" w:hanging="360"/>
      </w:pPr>
      <w:rPr>
        <w:rFonts w:ascii="Garamond" w:hAnsi="Garamond" w:hint="default"/>
      </w:rPr>
    </w:lvl>
    <w:lvl w:ilvl="3" w:tplc="8ED06DE2" w:tentative="1">
      <w:start w:val="1"/>
      <w:numFmt w:val="bullet"/>
      <w:lvlText w:val="•"/>
      <w:lvlJc w:val="left"/>
      <w:pPr>
        <w:tabs>
          <w:tab w:val="num" w:pos="2880"/>
        </w:tabs>
        <w:ind w:left="2880" w:hanging="360"/>
      </w:pPr>
      <w:rPr>
        <w:rFonts w:ascii="Garamond" w:hAnsi="Garamond" w:hint="default"/>
      </w:rPr>
    </w:lvl>
    <w:lvl w:ilvl="4" w:tplc="EBACCA8A" w:tentative="1">
      <w:start w:val="1"/>
      <w:numFmt w:val="bullet"/>
      <w:lvlText w:val="•"/>
      <w:lvlJc w:val="left"/>
      <w:pPr>
        <w:tabs>
          <w:tab w:val="num" w:pos="3600"/>
        </w:tabs>
        <w:ind w:left="3600" w:hanging="360"/>
      </w:pPr>
      <w:rPr>
        <w:rFonts w:ascii="Garamond" w:hAnsi="Garamond" w:hint="default"/>
      </w:rPr>
    </w:lvl>
    <w:lvl w:ilvl="5" w:tplc="C75EDA32" w:tentative="1">
      <w:start w:val="1"/>
      <w:numFmt w:val="bullet"/>
      <w:lvlText w:val="•"/>
      <w:lvlJc w:val="left"/>
      <w:pPr>
        <w:tabs>
          <w:tab w:val="num" w:pos="4320"/>
        </w:tabs>
        <w:ind w:left="4320" w:hanging="360"/>
      </w:pPr>
      <w:rPr>
        <w:rFonts w:ascii="Garamond" w:hAnsi="Garamond" w:hint="default"/>
      </w:rPr>
    </w:lvl>
    <w:lvl w:ilvl="6" w:tplc="5026489E" w:tentative="1">
      <w:start w:val="1"/>
      <w:numFmt w:val="bullet"/>
      <w:lvlText w:val="•"/>
      <w:lvlJc w:val="left"/>
      <w:pPr>
        <w:tabs>
          <w:tab w:val="num" w:pos="5040"/>
        </w:tabs>
        <w:ind w:left="5040" w:hanging="360"/>
      </w:pPr>
      <w:rPr>
        <w:rFonts w:ascii="Garamond" w:hAnsi="Garamond" w:hint="default"/>
      </w:rPr>
    </w:lvl>
    <w:lvl w:ilvl="7" w:tplc="28E2AB1A" w:tentative="1">
      <w:start w:val="1"/>
      <w:numFmt w:val="bullet"/>
      <w:lvlText w:val="•"/>
      <w:lvlJc w:val="left"/>
      <w:pPr>
        <w:tabs>
          <w:tab w:val="num" w:pos="5760"/>
        </w:tabs>
        <w:ind w:left="5760" w:hanging="360"/>
      </w:pPr>
      <w:rPr>
        <w:rFonts w:ascii="Garamond" w:hAnsi="Garamond" w:hint="default"/>
      </w:rPr>
    </w:lvl>
    <w:lvl w:ilvl="8" w:tplc="82381016" w:tentative="1">
      <w:start w:val="1"/>
      <w:numFmt w:val="bullet"/>
      <w:lvlText w:val="•"/>
      <w:lvlJc w:val="left"/>
      <w:pPr>
        <w:tabs>
          <w:tab w:val="num" w:pos="6480"/>
        </w:tabs>
        <w:ind w:left="6480" w:hanging="360"/>
      </w:pPr>
      <w:rPr>
        <w:rFonts w:ascii="Garamond" w:hAnsi="Garamond" w:hint="default"/>
      </w:rPr>
    </w:lvl>
  </w:abstractNum>
  <w:abstractNum w:abstractNumId="14">
    <w:nsid w:val="1F1231DE"/>
    <w:multiLevelType w:val="hybridMultilevel"/>
    <w:tmpl w:val="B5C288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5E16F2F"/>
    <w:multiLevelType w:val="hybridMultilevel"/>
    <w:tmpl w:val="7002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46DE4"/>
    <w:multiLevelType w:val="hybridMultilevel"/>
    <w:tmpl w:val="955EAD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7">
    <w:nsid w:val="2C3B7C4E"/>
    <w:multiLevelType w:val="hybridMultilevel"/>
    <w:tmpl w:val="49407994"/>
    <w:lvl w:ilvl="0" w:tplc="2FF07162">
      <w:start w:val="1"/>
      <w:numFmt w:val="decimal"/>
      <w:lvlText w:val="%1)"/>
      <w:lvlJc w:val="left"/>
      <w:pPr>
        <w:ind w:left="720" w:hanging="360"/>
      </w:pPr>
      <w:rPr>
        <w:rFonts w:ascii="Palatino Linotype" w:hAnsi="Palatino Linotype" w:cs="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81287"/>
    <w:multiLevelType w:val="hybridMultilevel"/>
    <w:tmpl w:val="FB02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82D2C"/>
    <w:multiLevelType w:val="hybridMultilevel"/>
    <w:tmpl w:val="B2923C3A"/>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0FB3A20"/>
    <w:multiLevelType w:val="hybridMultilevel"/>
    <w:tmpl w:val="5442BE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0B0964"/>
    <w:multiLevelType w:val="hybridMultilevel"/>
    <w:tmpl w:val="EEF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752AF"/>
    <w:multiLevelType w:val="hybridMultilevel"/>
    <w:tmpl w:val="86C4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021EC"/>
    <w:multiLevelType w:val="hybridMultilevel"/>
    <w:tmpl w:val="283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C4DF7"/>
    <w:multiLevelType w:val="hybridMultilevel"/>
    <w:tmpl w:val="9B769D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3F2648D"/>
    <w:multiLevelType w:val="hybridMultilevel"/>
    <w:tmpl w:val="98AEE634"/>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CE480C"/>
    <w:multiLevelType w:val="hybridMultilevel"/>
    <w:tmpl w:val="57A2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B5753E"/>
    <w:multiLevelType w:val="hybridMultilevel"/>
    <w:tmpl w:val="576A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27546"/>
    <w:multiLevelType w:val="hybridMultilevel"/>
    <w:tmpl w:val="951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66A2F"/>
    <w:multiLevelType w:val="hybridMultilevel"/>
    <w:tmpl w:val="DA3C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1443D"/>
    <w:multiLevelType w:val="hybridMultilevel"/>
    <w:tmpl w:val="473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76B7C"/>
    <w:multiLevelType w:val="hybridMultilevel"/>
    <w:tmpl w:val="390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36A5F"/>
    <w:multiLevelType w:val="hybridMultilevel"/>
    <w:tmpl w:val="31665E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675F76"/>
    <w:multiLevelType w:val="hybridMultilevel"/>
    <w:tmpl w:val="5938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22118"/>
    <w:multiLevelType w:val="hybridMultilevel"/>
    <w:tmpl w:val="A51CB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009B7"/>
    <w:multiLevelType w:val="hybridMultilevel"/>
    <w:tmpl w:val="B908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117C93"/>
    <w:multiLevelType w:val="hybridMultilevel"/>
    <w:tmpl w:val="BB26338E"/>
    <w:lvl w:ilvl="0" w:tplc="00010409">
      <w:start w:val="1"/>
      <w:numFmt w:val="bullet"/>
      <w:lvlText w:val=""/>
      <w:lvlJc w:val="left"/>
      <w:pPr>
        <w:tabs>
          <w:tab w:val="num" w:pos="720"/>
        </w:tabs>
        <w:ind w:left="720" w:hanging="360"/>
      </w:pPr>
      <w:rPr>
        <w:rFonts w:ascii="Symbol" w:hAnsi="Symbol" w:hint="default"/>
      </w:rPr>
    </w:lvl>
    <w:lvl w:ilvl="1" w:tplc="2D8E69E6">
      <w:start w:val="1"/>
      <w:numFmt w:val="bullet"/>
      <w:lvlText w:val="o"/>
      <w:lvlJc w:val="left"/>
      <w:pPr>
        <w:ind w:left="1440" w:hanging="360"/>
      </w:pPr>
      <w:rPr>
        <w:rFonts w:ascii="Courier New" w:hAnsi="Courier New" w:cs="Times" w:hint="default"/>
      </w:rPr>
    </w:lvl>
    <w:lvl w:ilvl="2" w:tplc="A812F752">
      <w:start w:val="1"/>
      <w:numFmt w:val="bullet"/>
      <w:lvlText w:val=""/>
      <w:lvlJc w:val="left"/>
      <w:pPr>
        <w:ind w:left="2160" w:hanging="360"/>
      </w:pPr>
      <w:rPr>
        <w:rFonts w:ascii="Wingdings" w:hAnsi="Wingdings" w:hint="default"/>
      </w:rPr>
    </w:lvl>
    <w:lvl w:ilvl="3" w:tplc="A21A2DF6" w:tentative="1">
      <w:start w:val="1"/>
      <w:numFmt w:val="bullet"/>
      <w:lvlText w:val=""/>
      <w:lvlJc w:val="left"/>
      <w:pPr>
        <w:ind w:left="2880" w:hanging="360"/>
      </w:pPr>
      <w:rPr>
        <w:rFonts w:ascii="Symbol" w:hAnsi="Symbol" w:hint="default"/>
      </w:rPr>
    </w:lvl>
    <w:lvl w:ilvl="4" w:tplc="F8FC3462" w:tentative="1">
      <w:start w:val="1"/>
      <w:numFmt w:val="bullet"/>
      <w:lvlText w:val="o"/>
      <w:lvlJc w:val="left"/>
      <w:pPr>
        <w:ind w:left="3600" w:hanging="360"/>
      </w:pPr>
      <w:rPr>
        <w:rFonts w:ascii="Courier New" w:hAnsi="Courier New" w:cs="Times" w:hint="default"/>
      </w:rPr>
    </w:lvl>
    <w:lvl w:ilvl="5" w:tplc="8916A104" w:tentative="1">
      <w:start w:val="1"/>
      <w:numFmt w:val="bullet"/>
      <w:lvlText w:val=""/>
      <w:lvlJc w:val="left"/>
      <w:pPr>
        <w:ind w:left="4320" w:hanging="360"/>
      </w:pPr>
      <w:rPr>
        <w:rFonts w:ascii="Wingdings" w:hAnsi="Wingdings" w:hint="default"/>
      </w:rPr>
    </w:lvl>
    <w:lvl w:ilvl="6" w:tplc="912C8180" w:tentative="1">
      <w:start w:val="1"/>
      <w:numFmt w:val="bullet"/>
      <w:lvlText w:val=""/>
      <w:lvlJc w:val="left"/>
      <w:pPr>
        <w:ind w:left="5040" w:hanging="360"/>
      </w:pPr>
      <w:rPr>
        <w:rFonts w:ascii="Symbol" w:hAnsi="Symbol" w:hint="default"/>
      </w:rPr>
    </w:lvl>
    <w:lvl w:ilvl="7" w:tplc="8E6CAD7A" w:tentative="1">
      <w:start w:val="1"/>
      <w:numFmt w:val="bullet"/>
      <w:lvlText w:val="o"/>
      <w:lvlJc w:val="left"/>
      <w:pPr>
        <w:ind w:left="5760" w:hanging="360"/>
      </w:pPr>
      <w:rPr>
        <w:rFonts w:ascii="Courier New" w:hAnsi="Courier New" w:cs="Times" w:hint="default"/>
      </w:rPr>
    </w:lvl>
    <w:lvl w:ilvl="8" w:tplc="78043B12" w:tentative="1">
      <w:start w:val="1"/>
      <w:numFmt w:val="bullet"/>
      <w:lvlText w:val=""/>
      <w:lvlJc w:val="left"/>
      <w:pPr>
        <w:ind w:left="6480" w:hanging="360"/>
      </w:pPr>
      <w:rPr>
        <w:rFonts w:ascii="Wingdings" w:hAnsi="Wingdings" w:hint="default"/>
      </w:rPr>
    </w:lvl>
  </w:abstractNum>
  <w:abstractNum w:abstractNumId="37">
    <w:nsid w:val="63237FD6"/>
    <w:multiLevelType w:val="hybridMultilevel"/>
    <w:tmpl w:val="F7D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177FDB"/>
    <w:multiLevelType w:val="hybridMultilevel"/>
    <w:tmpl w:val="6ED2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F5B56"/>
    <w:multiLevelType w:val="hybridMultilevel"/>
    <w:tmpl w:val="950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F1A7B"/>
    <w:multiLevelType w:val="hybridMultilevel"/>
    <w:tmpl w:val="1A2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A376D"/>
    <w:multiLevelType w:val="hybridMultilevel"/>
    <w:tmpl w:val="11C893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6ECE1F39"/>
    <w:multiLevelType w:val="hybridMultilevel"/>
    <w:tmpl w:val="221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C5F10"/>
    <w:multiLevelType w:val="hybridMultilevel"/>
    <w:tmpl w:val="6C6E2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8146F"/>
    <w:multiLevelType w:val="hybridMultilevel"/>
    <w:tmpl w:val="2586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7B4BCB"/>
    <w:multiLevelType w:val="hybridMultilevel"/>
    <w:tmpl w:val="F2C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DA6AB5"/>
    <w:multiLevelType w:val="hybridMultilevel"/>
    <w:tmpl w:val="F42A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A0094F"/>
    <w:multiLevelType w:val="hybridMultilevel"/>
    <w:tmpl w:val="C58A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B714F"/>
    <w:multiLevelType w:val="hybridMultilevel"/>
    <w:tmpl w:val="7FC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A07651"/>
    <w:multiLevelType w:val="hybridMultilevel"/>
    <w:tmpl w:val="A7D2C1BE"/>
    <w:lvl w:ilvl="0" w:tplc="2596467C">
      <w:start w:val="1"/>
      <w:numFmt w:val="bullet"/>
      <w:lvlText w:val="•"/>
      <w:lvlJc w:val="left"/>
      <w:pPr>
        <w:tabs>
          <w:tab w:val="num" w:pos="720"/>
        </w:tabs>
        <w:ind w:left="720" w:hanging="360"/>
      </w:pPr>
      <w:rPr>
        <w:rFonts w:ascii="Garamond" w:hAnsi="Garamond" w:hint="default"/>
      </w:rPr>
    </w:lvl>
    <w:lvl w:ilvl="1" w:tplc="889685FC" w:tentative="1">
      <w:start w:val="1"/>
      <w:numFmt w:val="bullet"/>
      <w:lvlText w:val="•"/>
      <w:lvlJc w:val="left"/>
      <w:pPr>
        <w:tabs>
          <w:tab w:val="num" w:pos="1440"/>
        </w:tabs>
        <w:ind w:left="1440" w:hanging="360"/>
      </w:pPr>
      <w:rPr>
        <w:rFonts w:ascii="Garamond" w:hAnsi="Garamond" w:hint="default"/>
      </w:rPr>
    </w:lvl>
    <w:lvl w:ilvl="2" w:tplc="793090AA">
      <w:start w:val="1"/>
      <w:numFmt w:val="bullet"/>
      <w:lvlText w:val="•"/>
      <w:lvlJc w:val="left"/>
      <w:pPr>
        <w:tabs>
          <w:tab w:val="num" w:pos="2160"/>
        </w:tabs>
        <w:ind w:left="2160" w:hanging="360"/>
      </w:pPr>
      <w:rPr>
        <w:rFonts w:ascii="Garamond" w:hAnsi="Garamond" w:hint="default"/>
      </w:rPr>
    </w:lvl>
    <w:lvl w:ilvl="3" w:tplc="3E1637D4" w:tentative="1">
      <w:start w:val="1"/>
      <w:numFmt w:val="bullet"/>
      <w:lvlText w:val="•"/>
      <w:lvlJc w:val="left"/>
      <w:pPr>
        <w:tabs>
          <w:tab w:val="num" w:pos="2880"/>
        </w:tabs>
        <w:ind w:left="2880" w:hanging="360"/>
      </w:pPr>
      <w:rPr>
        <w:rFonts w:ascii="Garamond" w:hAnsi="Garamond" w:hint="default"/>
      </w:rPr>
    </w:lvl>
    <w:lvl w:ilvl="4" w:tplc="383222E6" w:tentative="1">
      <w:start w:val="1"/>
      <w:numFmt w:val="bullet"/>
      <w:lvlText w:val="•"/>
      <w:lvlJc w:val="left"/>
      <w:pPr>
        <w:tabs>
          <w:tab w:val="num" w:pos="3600"/>
        </w:tabs>
        <w:ind w:left="3600" w:hanging="360"/>
      </w:pPr>
      <w:rPr>
        <w:rFonts w:ascii="Garamond" w:hAnsi="Garamond" w:hint="default"/>
      </w:rPr>
    </w:lvl>
    <w:lvl w:ilvl="5" w:tplc="1BA03552" w:tentative="1">
      <w:start w:val="1"/>
      <w:numFmt w:val="bullet"/>
      <w:lvlText w:val="•"/>
      <w:lvlJc w:val="left"/>
      <w:pPr>
        <w:tabs>
          <w:tab w:val="num" w:pos="4320"/>
        </w:tabs>
        <w:ind w:left="4320" w:hanging="360"/>
      </w:pPr>
      <w:rPr>
        <w:rFonts w:ascii="Garamond" w:hAnsi="Garamond" w:hint="default"/>
      </w:rPr>
    </w:lvl>
    <w:lvl w:ilvl="6" w:tplc="1758DDF2" w:tentative="1">
      <w:start w:val="1"/>
      <w:numFmt w:val="bullet"/>
      <w:lvlText w:val="•"/>
      <w:lvlJc w:val="left"/>
      <w:pPr>
        <w:tabs>
          <w:tab w:val="num" w:pos="5040"/>
        </w:tabs>
        <w:ind w:left="5040" w:hanging="360"/>
      </w:pPr>
      <w:rPr>
        <w:rFonts w:ascii="Garamond" w:hAnsi="Garamond" w:hint="default"/>
      </w:rPr>
    </w:lvl>
    <w:lvl w:ilvl="7" w:tplc="20EC5804" w:tentative="1">
      <w:start w:val="1"/>
      <w:numFmt w:val="bullet"/>
      <w:lvlText w:val="•"/>
      <w:lvlJc w:val="left"/>
      <w:pPr>
        <w:tabs>
          <w:tab w:val="num" w:pos="5760"/>
        </w:tabs>
        <w:ind w:left="5760" w:hanging="360"/>
      </w:pPr>
      <w:rPr>
        <w:rFonts w:ascii="Garamond" w:hAnsi="Garamond" w:hint="default"/>
      </w:rPr>
    </w:lvl>
    <w:lvl w:ilvl="8" w:tplc="2466B4E8" w:tentative="1">
      <w:start w:val="1"/>
      <w:numFmt w:val="bullet"/>
      <w:lvlText w:val="•"/>
      <w:lvlJc w:val="left"/>
      <w:pPr>
        <w:tabs>
          <w:tab w:val="num" w:pos="6480"/>
        </w:tabs>
        <w:ind w:left="6480" w:hanging="360"/>
      </w:pPr>
      <w:rPr>
        <w:rFonts w:ascii="Garamond" w:hAnsi="Garamond" w:hint="default"/>
      </w:rPr>
    </w:lvl>
  </w:abstractNum>
  <w:num w:numId="1">
    <w:abstractNumId w:val="38"/>
  </w:num>
  <w:num w:numId="2">
    <w:abstractNumId w:val="32"/>
  </w:num>
  <w:num w:numId="3">
    <w:abstractNumId w:val="33"/>
  </w:num>
  <w:num w:numId="4">
    <w:abstractNumId w:val="30"/>
  </w:num>
  <w:num w:numId="5">
    <w:abstractNumId w:val="10"/>
  </w:num>
  <w:num w:numId="6">
    <w:abstractNumId w:val="18"/>
  </w:num>
  <w:num w:numId="7">
    <w:abstractNumId w:val="46"/>
  </w:num>
  <w:num w:numId="8">
    <w:abstractNumId w:val="6"/>
  </w:num>
  <w:num w:numId="9">
    <w:abstractNumId w:val="42"/>
  </w:num>
  <w:num w:numId="10">
    <w:abstractNumId w:val="45"/>
  </w:num>
  <w:num w:numId="11">
    <w:abstractNumId w:val="35"/>
  </w:num>
  <w:num w:numId="12">
    <w:abstractNumId w:val="23"/>
  </w:num>
  <w:num w:numId="13">
    <w:abstractNumId w:val="29"/>
  </w:num>
  <w:num w:numId="14">
    <w:abstractNumId w:val="28"/>
  </w:num>
  <w:num w:numId="15">
    <w:abstractNumId w:val="21"/>
  </w:num>
  <w:num w:numId="16">
    <w:abstractNumId w:val="1"/>
  </w:num>
  <w:num w:numId="17">
    <w:abstractNumId w:val="41"/>
  </w:num>
  <w:num w:numId="18">
    <w:abstractNumId w:val="47"/>
  </w:num>
  <w:num w:numId="19">
    <w:abstractNumId w:val="43"/>
  </w:num>
  <w:num w:numId="20">
    <w:abstractNumId w:val="48"/>
  </w:num>
  <w:num w:numId="21">
    <w:abstractNumId w:val="3"/>
  </w:num>
  <w:num w:numId="22">
    <w:abstractNumId w:val="26"/>
  </w:num>
  <w:num w:numId="23">
    <w:abstractNumId w:val="34"/>
  </w:num>
  <w:num w:numId="24">
    <w:abstractNumId w:val="39"/>
  </w:num>
  <w:num w:numId="25">
    <w:abstractNumId w:val="8"/>
  </w:num>
  <w:num w:numId="26">
    <w:abstractNumId w:val="14"/>
  </w:num>
  <w:num w:numId="27">
    <w:abstractNumId w:val="0"/>
  </w:num>
  <w:num w:numId="28">
    <w:abstractNumId w:val="12"/>
  </w:num>
  <w:num w:numId="29">
    <w:abstractNumId w:val="4"/>
  </w:num>
  <w:num w:numId="30">
    <w:abstractNumId w:val="27"/>
  </w:num>
  <w:num w:numId="31">
    <w:abstractNumId w:val="31"/>
  </w:num>
  <w:num w:numId="32">
    <w:abstractNumId w:val="16"/>
  </w:num>
  <w:num w:numId="33">
    <w:abstractNumId w:val="24"/>
  </w:num>
  <w:num w:numId="34">
    <w:abstractNumId w:val="36"/>
  </w:num>
  <w:num w:numId="35">
    <w:abstractNumId w:val="19"/>
  </w:num>
  <w:num w:numId="36">
    <w:abstractNumId w:val="22"/>
  </w:num>
  <w:num w:numId="37">
    <w:abstractNumId w:val="25"/>
  </w:num>
  <w:num w:numId="38">
    <w:abstractNumId w:val="40"/>
  </w:num>
  <w:num w:numId="39">
    <w:abstractNumId w:val="15"/>
  </w:num>
  <w:num w:numId="40">
    <w:abstractNumId w:val="5"/>
  </w:num>
  <w:num w:numId="41">
    <w:abstractNumId w:val="44"/>
  </w:num>
  <w:num w:numId="42">
    <w:abstractNumId w:val="7"/>
  </w:num>
  <w:num w:numId="43">
    <w:abstractNumId w:val="2"/>
  </w:num>
  <w:num w:numId="44">
    <w:abstractNumId w:val="37"/>
  </w:num>
  <w:num w:numId="45">
    <w:abstractNumId w:val="11"/>
  </w:num>
  <w:num w:numId="46">
    <w:abstractNumId w:val="20"/>
  </w:num>
  <w:num w:numId="47">
    <w:abstractNumId w:val="17"/>
  </w:num>
  <w:num w:numId="48">
    <w:abstractNumId w:val="13"/>
  </w:num>
  <w:num w:numId="49">
    <w:abstractNumId w:val="9"/>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EF"/>
    <w:rsid w:val="00002360"/>
    <w:rsid w:val="0000259D"/>
    <w:rsid w:val="00003160"/>
    <w:rsid w:val="00003E50"/>
    <w:rsid w:val="00006BF0"/>
    <w:rsid w:val="00007191"/>
    <w:rsid w:val="00010DD2"/>
    <w:rsid w:val="00011CC2"/>
    <w:rsid w:val="00012B09"/>
    <w:rsid w:val="00012DDF"/>
    <w:rsid w:val="00012F30"/>
    <w:rsid w:val="00012F70"/>
    <w:rsid w:val="000157E1"/>
    <w:rsid w:val="00017224"/>
    <w:rsid w:val="00021EC7"/>
    <w:rsid w:val="000222BB"/>
    <w:rsid w:val="00023B13"/>
    <w:rsid w:val="00027035"/>
    <w:rsid w:val="00032956"/>
    <w:rsid w:val="00032EB6"/>
    <w:rsid w:val="000351DF"/>
    <w:rsid w:val="00036CE9"/>
    <w:rsid w:val="00036FFF"/>
    <w:rsid w:val="000377EF"/>
    <w:rsid w:val="00042177"/>
    <w:rsid w:val="000426F0"/>
    <w:rsid w:val="0004401C"/>
    <w:rsid w:val="00044532"/>
    <w:rsid w:val="00045EEB"/>
    <w:rsid w:val="000467D8"/>
    <w:rsid w:val="00051DE1"/>
    <w:rsid w:val="00055152"/>
    <w:rsid w:val="0005536D"/>
    <w:rsid w:val="000559C8"/>
    <w:rsid w:val="00055FF2"/>
    <w:rsid w:val="00057742"/>
    <w:rsid w:val="00062FFE"/>
    <w:rsid w:val="00063AB4"/>
    <w:rsid w:val="00063B1B"/>
    <w:rsid w:val="00064D61"/>
    <w:rsid w:val="00065767"/>
    <w:rsid w:val="00065E7B"/>
    <w:rsid w:val="00067053"/>
    <w:rsid w:val="00072AC7"/>
    <w:rsid w:val="00072CF3"/>
    <w:rsid w:val="0007686C"/>
    <w:rsid w:val="000771E4"/>
    <w:rsid w:val="00081AC0"/>
    <w:rsid w:val="00084486"/>
    <w:rsid w:val="00085BAF"/>
    <w:rsid w:val="0008753B"/>
    <w:rsid w:val="000875EE"/>
    <w:rsid w:val="00091F73"/>
    <w:rsid w:val="000937A3"/>
    <w:rsid w:val="000945BA"/>
    <w:rsid w:val="00096650"/>
    <w:rsid w:val="00096709"/>
    <w:rsid w:val="000A00C8"/>
    <w:rsid w:val="000A1019"/>
    <w:rsid w:val="000A1AC5"/>
    <w:rsid w:val="000A39F6"/>
    <w:rsid w:val="000A45C9"/>
    <w:rsid w:val="000A5233"/>
    <w:rsid w:val="000A5B94"/>
    <w:rsid w:val="000B339E"/>
    <w:rsid w:val="000B59EC"/>
    <w:rsid w:val="000C0937"/>
    <w:rsid w:val="000C2E4B"/>
    <w:rsid w:val="000C301F"/>
    <w:rsid w:val="000C35E6"/>
    <w:rsid w:val="000C38F9"/>
    <w:rsid w:val="000C42DD"/>
    <w:rsid w:val="000C6364"/>
    <w:rsid w:val="000C7259"/>
    <w:rsid w:val="000D15D4"/>
    <w:rsid w:val="000D16C9"/>
    <w:rsid w:val="000D3F99"/>
    <w:rsid w:val="000D5FFA"/>
    <w:rsid w:val="000D60E9"/>
    <w:rsid w:val="000D655D"/>
    <w:rsid w:val="000D70A7"/>
    <w:rsid w:val="000D7226"/>
    <w:rsid w:val="000D73F3"/>
    <w:rsid w:val="000D7B02"/>
    <w:rsid w:val="000E1527"/>
    <w:rsid w:val="000E2FB5"/>
    <w:rsid w:val="000E31A0"/>
    <w:rsid w:val="000E62FD"/>
    <w:rsid w:val="000E6361"/>
    <w:rsid w:val="000E702C"/>
    <w:rsid w:val="000E7169"/>
    <w:rsid w:val="000F008E"/>
    <w:rsid w:val="000F1706"/>
    <w:rsid w:val="000F7520"/>
    <w:rsid w:val="000F76FB"/>
    <w:rsid w:val="001005B1"/>
    <w:rsid w:val="00101FA8"/>
    <w:rsid w:val="00104588"/>
    <w:rsid w:val="00105BE8"/>
    <w:rsid w:val="0011075B"/>
    <w:rsid w:val="00111952"/>
    <w:rsid w:val="00113BB9"/>
    <w:rsid w:val="001145B4"/>
    <w:rsid w:val="00116315"/>
    <w:rsid w:val="00116954"/>
    <w:rsid w:val="00116B60"/>
    <w:rsid w:val="00116E7E"/>
    <w:rsid w:val="001219D5"/>
    <w:rsid w:val="001230B1"/>
    <w:rsid w:val="00125B42"/>
    <w:rsid w:val="00126E98"/>
    <w:rsid w:val="00127D4C"/>
    <w:rsid w:val="001306C7"/>
    <w:rsid w:val="0013299B"/>
    <w:rsid w:val="00132D81"/>
    <w:rsid w:val="00132F26"/>
    <w:rsid w:val="0013367A"/>
    <w:rsid w:val="00135F88"/>
    <w:rsid w:val="00136AC5"/>
    <w:rsid w:val="0013771E"/>
    <w:rsid w:val="00142B9B"/>
    <w:rsid w:val="00142E79"/>
    <w:rsid w:val="00143398"/>
    <w:rsid w:val="001454C1"/>
    <w:rsid w:val="0014702D"/>
    <w:rsid w:val="0015285A"/>
    <w:rsid w:val="00152DAE"/>
    <w:rsid w:val="00152FAC"/>
    <w:rsid w:val="00153E05"/>
    <w:rsid w:val="001553A1"/>
    <w:rsid w:val="001567AD"/>
    <w:rsid w:val="00160AF4"/>
    <w:rsid w:val="00160E12"/>
    <w:rsid w:val="00161C5F"/>
    <w:rsid w:val="001622BB"/>
    <w:rsid w:val="00162604"/>
    <w:rsid w:val="0016329E"/>
    <w:rsid w:val="00163692"/>
    <w:rsid w:val="00163851"/>
    <w:rsid w:val="00163877"/>
    <w:rsid w:val="00163D82"/>
    <w:rsid w:val="00164C1D"/>
    <w:rsid w:val="00176E43"/>
    <w:rsid w:val="00177837"/>
    <w:rsid w:val="001778FC"/>
    <w:rsid w:val="00180385"/>
    <w:rsid w:val="0018125F"/>
    <w:rsid w:val="00185415"/>
    <w:rsid w:val="0018667B"/>
    <w:rsid w:val="0018709E"/>
    <w:rsid w:val="00187865"/>
    <w:rsid w:val="0019050F"/>
    <w:rsid w:val="00191EA1"/>
    <w:rsid w:val="00193D5B"/>
    <w:rsid w:val="0019499B"/>
    <w:rsid w:val="00194C1A"/>
    <w:rsid w:val="00195C5B"/>
    <w:rsid w:val="00196D8E"/>
    <w:rsid w:val="00196FC9"/>
    <w:rsid w:val="00197798"/>
    <w:rsid w:val="001A0694"/>
    <w:rsid w:val="001A1B73"/>
    <w:rsid w:val="001A1CEA"/>
    <w:rsid w:val="001A4E87"/>
    <w:rsid w:val="001B0997"/>
    <w:rsid w:val="001B0F45"/>
    <w:rsid w:val="001B127B"/>
    <w:rsid w:val="001B1DA2"/>
    <w:rsid w:val="001B600F"/>
    <w:rsid w:val="001B6A39"/>
    <w:rsid w:val="001B6ED5"/>
    <w:rsid w:val="001B73A7"/>
    <w:rsid w:val="001B7CDD"/>
    <w:rsid w:val="001C11A8"/>
    <w:rsid w:val="001C28AB"/>
    <w:rsid w:val="001C3D0D"/>
    <w:rsid w:val="001C4824"/>
    <w:rsid w:val="001C5A3A"/>
    <w:rsid w:val="001C5AFE"/>
    <w:rsid w:val="001C7DB2"/>
    <w:rsid w:val="001D0EAB"/>
    <w:rsid w:val="001D1021"/>
    <w:rsid w:val="001D1C31"/>
    <w:rsid w:val="001D1DAF"/>
    <w:rsid w:val="001D2416"/>
    <w:rsid w:val="001D4FF6"/>
    <w:rsid w:val="001E2AC7"/>
    <w:rsid w:val="001E2CAD"/>
    <w:rsid w:val="001E3DF8"/>
    <w:rsid w:val="001E47AD"/>
    <w:rsid w:val="001E50DA"/>
    <w:rsid w:val="001E5EE0"/>
    <w:rsid w:val="001E7DF7"/>
    <w:rsid w:val="001F15D3"/>
    <w:rsid w:val="001F2206"/>
    <w:rsid w:val="001F40F0"/>
    <w:rsid w:val="001F4A12"/>
    <w:rsid w:val="001F55B3"/>
    <w:rsid w:val="001F6E14"/>
    <w:rsid w:val="001F7EE9"/>
    <w:rsid w:val="00203F25"/>
    <w:rsid w:val="0020630C"/>
    <w:rsid w:val="00206D60"/>
    <w:rsid w:val="00212102"/>
    <w:rsid w:val="00214605"/>
    <w:rsid w:val="00214DE1"/>
    <w:rsid w:val="00215798"/>
    <w:rsid w:val="002167A2"/>
    <w:rsid w:val="002170C2"/>
    <w:rsid w:val="002172A5"/>
    <w:rsid w:val="00217B99"/>
    <w:rsid w:val="00217CF9"/>
    <w:rsid w:val="00220491"/>
    <w:rsid w:val="00221665"/>
    <w:rsid w:val="00221AAE"/>
    <w:rsid w:val="00221AC7"/>
    <w:rsid w:val="00223AB8"/>
    <w:rsid w:val="002240EE"/>
    <w:rsid w:val="0022556B"/>
    <w:rsid w:val="00226EA4"/>
    <w:rsid w:val="0023639A"/>
    <w:rsid w:val="002374EF"/>
    <w:rsid w:val="00237589"/>
    <w:rsid w:val="00237EB5"/>
    <w:rsid w:val="00243152"/>
    <w:rsid w:val="0024431E"/>
    <w:rsid w:val="00244ECA"/>
    <w:rsid w:val="002450AA"/>
    <w:rsid w:val="002470B4"/>
    <w:rsid w:val="002476C6"/>
    <w:rsid w:val="00247E9B"/>
    <w:rsid w:val="00250AA5"/>
    <w:rsid w:val="0025246D"/>
    <w:rsid w:val="002524E6"/>
    <w:rsid w:val="0025492B"/>
    <w:rsid w:val="00256CA5"/>
    <w:rsid w:val="002619EC"/>
    <w:rsid w:val="002700E7"/>
    <w:rsid w:val="0027044F"/>
    <w:rsid w:val="00270E26"/>
    <w:rsid w:val="0027333F"/>
    <w:rsid w:val="00277EE6"/>
    <w:rsid w:val="00281E3E"/>
    <w:rsid w:val="00282430"/>
    <w:rsid w:val="0028648B"/>
    <w:rsid w:val="0028649C"/>
    <w:rsid w:val="002910F7"/>
    <w:rsid w:val="00291BCD"/>
    <w:rsid w:val="00292C93"/>
    <w:rsid w:val="00293340"/>
    <w:rsid w:val="00294CEB"/>
    <w:rsid w:val="00297463"/>
    <w:rsid w:val="00297B81"/>
    <w:rsid w:val="002A0081"/>
    <w:rsid w:val="002A00A2"/>
    <w:rsid w:val="002A221B"/>
    <w:rsid w:val="002A2E60"/>
    <w:rsid w:val="002A5544"/>
    <w:rsid w:val="002A6A87"/>
    <w:rsid w:val="002B1441"/>
    <w:rsid w:val="002B2A53"/>
    <w:rsid w:val="002B3B64"/>
    <w:rsid w:val="002B647E"/>
    <w:rsid w:val="002C0D6B"/>
    <w:rsid w:val="002C223A"/>
    <w:rsid w:val="002C46FD"/>
    <w:rsid w:val="002C69BE"/>
    <w:rsid w:val="002C78A4"/>
    <w:rsid w:val="002D1857"/>
    <w:rsid w:val="002D31FA"/>
    <w:rsid w:val="002D4954"/>
    <w:rsid w:val="002D4E79"/>
    <w:rsid w:val="002E12A8"/>
    <w:rsid w:val="002E1EF1"/>
    <w:rsid w:val="002E274F"/>
    <w:rsid w:val="002E32D3"/>
    <w:rsid w:val="002E5428"/>
    <w:rsid w:val="002E76DC"/>
    <w:rsid w:val="002F1FA2"/>
    <w:rsid w:val="002F233E"/>
    <w:rsid w:val="002F24DB"/>
    <w:rsid w:val="002F36DD"/>
    <w:rsid w:val="002F648C"/>
    <w:rsid w:val="002F661B"/>
    <w:rsid w:val="002F6677"/>
    <w:rsid w:val="003024F9"/>
    <w:rsid w:val="003064C4"/>
    <w:rsid w:val="003064E7"/>
    <w:rsid w:val="003073BB"/>
    <w:rsid w:val="00307696"/>
    <w:rsid w:val="003076A2"/>
    <w:rsid w:val="003101BB"/>
    <w:rsid w:val="0031144E"/>
    <w:rsid w:val="00311D2A"/>
    <w:rsid w:val="00313697"/>
    <w:rsid w:val="00314E3B"/>
    <w:rsid w:val="00315A34"/>
    <w:rsid w:val="003164D0"/>
    <w:rsid w:val="00317295"/>
    <w:rsid w:val="003174D4"/>
    <w:rsid w:val="00317ADC"/>
    <w:rsid w:val="00323474"/>
    <w:rsid w:val="0032781C"/>
    <w:rsid w:val="0033316F"/>
    <w:rsid w:val="0033464D"/>
    <w:rsid w:val="00334FE0"/>
    <w:rsid w:val="0033781E"/>
    <w:rsid w:val="00341AB8"/>
    <w:rsid w:val="00342316"/>
    <w:rsid w:val="00343B20"/>
    <w:rsid w:val="00343C81"/>
    <w:rsid w:val="00344740"/>
    <w:rsid w:val="0034605B"/>
    <w:rsid w:val="00346183"/>
    <w:rsid w:val="003466E1"/>
    <w:rsid w:val="003467DF"/>
    <w:rsid w:val="00347193"/>
    <w:rsid w:val="003500D5"/>
    <w:rsid w:val="00351279"/>
    <w:rsid w:val="00352BAF"/>
    <w:rsid w:val="0035597E"/>
    <w:rsid w:val="00356222"/>
    <w:rsid w:val="0035774C"/>
    <w:rsid w:val="00357B5A"/>
    <w:rsid w:val="00360DD3"/>
    <w:rsid w:val="003654C9"/>
    <w:rsid w:val="00365A30"/>
    <w:rsid w:val="0036651C"/>
    <w:rsid w:val="003669F8"/>
    <w:rsid w:val="00371B4B"/>
    <w:rsid w:val="00372C0A"/>
    <w:rsid w:val="00372EAD"/>
    <w:rsid w:val="00373E2F"/>
    <w:rsid w:val="0037494A"/>
    <w:rsid w:val="00375469"/>
    <w:rsid w:val="003758DA"/>
    <w:rsid w:val="00375B72"/>
    <w:rsid w:val="003779C6"/>
    <w:rsid w:val="003835B2"/>
    <w:rsid w:val="003836C0"/>
    <w:rsid w:val="0038406F"/>
    <w:rsid w:val="0038491B"/>
    <w:rsid w:val="00385A66"/>
    <w:rsid w:val="0039329D"/>
    <w:rsid w:val="00394EA6"/>
    <w:rsid w:val="00395560"/>
    <w:rsid w:val="003965D2"/>
    <w:rsid w:val="00396983"/>
    <w:rsid w:val="00397F3F"/>
    <w:rsid w:val="003A0637"/>
    <w:rsid w:val="003A18D1"/>
    <w:rsid w:val="003A18D6"/>
    <w:rsid w:val="003A1AB3"/>
    <w:rsid w:val="003A1B97"/>
    <w:rsid w:val="003A209E"/>
    <w:rsid w:val="003A28BB"/>
    <w:rsid w:val="003A351F"/>
    <w:rsid w:val="003A40D8"/>
    <w:rsid w:val="003A631A"/>
    <w:rsid w:val="003A75B7"/>
    <w:rsid w:val="003A7BEA"/>
    <w:rsid w:val="003B0398"/>
    <w:rsid w:val="003B0CD6"/>
    <w:rsid w:val="003B11C3"/>
    <w:rsid w:val="003B184B"/>
    <w:rsid w:val="003B3D77"/>
    <w:rsid w:val="003B4815"/>
    <w:rsid w:val="003B57D6"/>
    <w:rsid w:val="003B6B4E"/>
    <w:rsid w:val="003C090B"/>
    <w:rsid w:val="003C1F20"/>
    <w:rsid w:val="003C2D80"/>
    <w:rsid w:val="003C4680"/>
    <w:rsid w:val="003C4F24"/>
    <w:rsid w:val="003C5454"/>
    <w:rsid w:val="003C6B45"/>
    <w:rsid w:val="003C742D"/>
    <w:rsid w:val="003D0658"/>
    <w:rsid w:val="003D7C60"/>
    <w:rsid w:val="003E15DE"/>
    <w:rsid w:val="003E2FA4"/>
    <w:rsid w:val="003E3051"/>
    <w:rsid w:val="003E39A7"/>
    <w:rsid w:val="003E73E7"/>
    <w:rsid w:val="003F04FC"/>
    <w:rsid w:val="003F0681"/>
    <w:rsid w:val="003F095A"/>
    <w:rsid w:val="003F371D"/>
    <w:rsid w:val="003F4B42"/>
    <w:rsid w:val="003F6032"/>
    <w:rsid w:val="003F7260"/>
    <w:rsid w:val="003F7B0C"/>
    <w:rsid w:val="003F7F1A"/>
    <w:rsid w:val="00403169"/>
    <w:rsid w:val="00403C75"/>
    <w:rsid w:val="00404B99"/>
    <w:rsid w:val="00404EF6"/>
    <w:rsid w:val="00405CDE"/>
    <w:rsid w:val="00410BBE"/>
    <w:rsid w:val="00410F68"/>
    <w:rsid w:val="00414BB0"/>
    <w:rsid w:val="0041758B"/>
    <w:rsid w:val="0042234E"/>
    <w:rsid w:val="00422B9E"/>
    <w:rsid w:val="00422F67"/>
    <w:rsid w:val="0042439A"/>
    <w:rsid w:val="00430347"/>
    <w:rsid w:val="004318C8"/>
    <w:rsid w:val="00432998"/>
    <w:rsid w:val="00432C6A"/>
    <w:rsid w:val="00436051"/>
    <w:rsid w:val="00436FBA"/>
    <w:rsid w:val="0044030E"/>
    <w:rsid w:val="00441511"/>
    <w:rsid w:val="004417DC"/>
    <w:rsid w:val="004419A3"/>
    <w:rsid w:val="00442173"/>
    <w:rsid w:val="004424D3"/>
    <w:rsid w:val="004427A5"/>
    <w:rsid w:val="00450818"/>
    <w:rsid w:val="00451431"/>
    <w:rsid w:val="00454135"/>
    <w:rsid w:val="00455CCD"/>
    <w:rsid w:val="00456994"/>
    <w:rsid w:val="00457064"/>
    <w:rsid w:val="0045763C"/>
    <w:rsid w:val="00460480"/>
    <w:rsid w:val="00460F2A"/>
    <w:rsid w:val="004614D7"/>
    <w:rsid w:val="00461A25"/>
    <w:rsid w:val="00463B5E"/>
    <w:rsid w:val="00464C60"/>
    <w:rsid w:val="004651FE"/>
    <w:rsid w:val="004668E9"/>
    <w:rsid w:val="00467A4C"/>
    <w:rsid w:val="00470277"/>
    <w:rsid w:val="00471701"/>
    <w:rsid w:val="00472383"/>
    <w:rsid w:val="00473ED3"/>
    <w:rsid w:val="00474555"/>
    <w:rsid w:val="00474DE1"/>
    <w:rsid w:val="00476591"/>
    <w:rsid w:val="0048115C"/>
    <w:rsid w:val="00481EC1"/>
    <w:rsid w:val="0048249E"/>
    <w:rsid w:val="0048527F"/>
    <w:rsid w:val="004863E5"/>
    <w:rsid w:val="00486CF9"/>
    <w:rsid w:val="00486D3E"/>
    <w:rsid w:val="00490625"/>
    <w:rsid w:val="00493391"/>
    <w:rsid w:val="00495473"/>
    <w:rsid w:val="0049789B"/>
    <w:rsid w:val="004A01B5"/>
    <w:rsid w:val="004A06E8"/>
    <w:rsid w:val="004A08BE"/>
    <w:rsid w:val="004A2E0C"/>
    <w:rsid w:val="004A2F73"/>
    <w:rsid w:val="004B16C8"/>
    <w:rsid w:val="004B255B"/>
    <w:rsid w:val="004B3518"/>
    <w:rsid w:val="004B455F"/>
    <w:rsid w:val="004B5DF5"/>
    <w:rsid w:val="004B616B"/>
    <w:rsid w:val="004B68C1"/>
    <w:rsid w:val="004B6FAF"/>
    <w:rsid w:val="004C1E58"/>
    <w:rsid w:val="004C3030"/>
    <w:rsid w:val="004C4033"/>
    <w:rsid w:val="004C459F"/>
    <w:rsid w:val="004C5E6F"/>
    <w:rsid w:val="004C79C4"/>
    <w:rsid w:val="004C7B02"/>
    <w:rsid w:val="004D0573"/>
    <w:rsid w:val="004D0F60"/>
    <w:rsid w:val="004D40C2"/>
    <w:rsid w:val="004D5ED9"/>
    <w:rsid w:val="004D656F"/>
    <w:rsid w:val="004D6F3C"/>
    <w:rsid w:val="004E08AB"/>
    <w:rsid w:val="004E0BC4"/>
    <w:rsid w:val="004E126F"/>
    <w:rsid w:val="004E22F2"/>
    <w:rsid w:val="004E5BBA"/>
    <w:rsid w:val="004E63F3"/>
    <w:rsid w:val="004F2E08"/>
    <w:rsid w:val="004F3239"/>
    <w:rsid w:val="004F4848"/>
    <w:rsid w:val="004F51E2"/>
    <w:rsid w:val="004F6417"/>
    <w:rsid w:val="004F6B3E"/>
    <w:rsid w:val="004F7C1B"/>
    <w:rsid w:val="00500328"/>
    <w:rsid w:val="00500F91"/>
    <w:rsid w:val="00501CC0"/>
    <w:rsid w:val="00502BF8"/>
    <w:rsid w:val="00503482"/>
    <w:rsid w:val="005034CB"/>
    <w:rsid w:val="00503855"/>
    <w:rsid w:val="00503E23"/>
    <w:rsid w:val="00505017"/>
    <w:rsid w:val="00506707"/>
    <w:rsid w:val="00510037"/>
    <w:rsid w:val="005125D8"/>
    <w:rsid w:val="005126A6"/>
    <w:rsid w:val="00513484"/>
    <w:rsid w:val="00513F18"/>
    <w:rsid w:val="00515AE5"/>
    <w:rsid w:val="005201E5"/>
    <w:rsid w:val="0052123B"/>
    <w:rsid w:val="00521BA3"/>
    <w:rsid w:val="00523336"/>
    <w:rsid w:val="005239CD"/>
    <w:rsid w:val="00524022"/>
    <w:rsid w:val="00525F72"/>
    <w:rsid w:val="00526E25"/>
    <w:rsid w:val="0053097B"/>
    <w:rsid w:val="00532587"/>
    <w:rsid w:val="00533461"/>
    <w:rsid w:val="00534B8C"/>
    <w:rsid w:val="0053646F"/>
    <w:rsid w:val="005407D6"/>
    <w:rsid w:val="00541C4F"/>
    <w:rsid w:val="00543685"/>
    <w:rsid w:val="005437C4"/>
    <w:rsid w:val="00543EAB"/>
    <w:rsid w:val="00546767"/>
    <w:rsid w:val="0055614B"/>
    <w:rsid w:val="00557CE1"/>
    <w:rsid w:val="005609CC"/>
    <w:rsid w:val="00560A0C"/>
    <w:rsid w:val="005616D1"/>
    <w:rsid w:val="005630A5"/>
    <w:rsid w:val="00564379"/>
    <w:rsid w:val="005644F4"/>
    <w:rsid w:val="005673BC"/>
    <w:rsid w:val="005675B4"/>
    <w:rsid w:val="0056763D"/>
    <w:rsid w:val="00567919"/>
    <w:rsid w:val="00573FFC"/>
    <w:rsid w:val="00577F93"/>
    <w:rsid w:val="005845F5"/>
    <w:rsid w:val="00584F04"/>
    <w:rsid w:val="0058673D"/>
    <w:rsid w:val="00586A87"/>
    <w:rsid w:val="005909BF"/>
    <w:rsid w:val="00590E2A"/>
    <w:rsid w:val="00593690"/>
    <w:rsid w:val="00594763"/>
    <w:rsid w:val="00596BDB"/>
    <w:rsid w:val="005979B1"/>
    <w:rsid w:val="005A6D16"/>
    <w:rsid w:val="005B0112"/>
    <w:rsid w:val="005B16A8"/>
    <w:rsid w:val="005B31CE"/>
    <w:rsid w:val="005B3202"/>
    <w:rsid w:val="005B3503"/>
    <w:rsid w:val="005B3F13"/>
    <w:rsid w:val="005B4D8C"/>
    <w:rsid w:val="005B5411"/>
    <w:rsid w:val="005B6A27"/>
    <w:rsid w:val="005C3709"/>
    <w:rsid w:val="005C6137"/>
    <w:rsid w:val="005C6494"/>
    <w:rsid w:val="005D0ABE"/>
    <w:rsid w:val="005D35B3"/>
    <w:rsid w:val="005D4525"/>
    <w:rsid w:val="005D4F2D"/>
    <w:rsid w:val="005D64B6"/>
    <w:rsid w:val="005E06D0"/>
    <w:rsid w:val="005E0758"/>
    <w:rsid w:val="005E19F4"/>
    <w:rsid w:val="005E3B14"/>
    <w:rsid w:val="005F017F"/>
    <w:rsid w:val="005F12A6"/>
    <w:rsid w:val="005F1924"/>
    <w:rsid w:val="005F1F40"/>
    <w:rsid w:val="005F427A"/>
    <w:rsid w:val="0060008A"/>
    <w:rsid w:val="00602044"/>
    <w:rsid w:val="006038E4"/>
    <w:rsid w:val="00603F49"/>
    <w:rsid w:val="006060D1"/>
    <w:rsid w:val="0060749C"/>
    <w:rsid w:val="006108CB"/>
    <w:rsid w:val="00613401"/>
    <w:rsid w:val="00614090"/>
    <w:rsid w:val="0061455C"/>
    <w:rsid w:val="00614DEC"/>
    <w:rsid w:val="00615BB8"/>
    <w:rsid w:val="006160F8"/>
    <w:rsid w:val="006164A9"/>
    <w:rsid w:val="00617F3A"/>
    <w:rsid w:val="00624EDE"/>
    <w:rsid w:val="00625946"/>
    <w:rsid w:val="006279B8"/>
    <w:rsid w:val="006301D0"/>
    <w:rsid w:val="006306C0"/>
    <w:rsid w:val="00630C81"/>
    <w:rsid w:val="00631C0A"/>
    <w:rsid w:val="00631EFD"/>
    <w:rsid w:val="00632CF2"/>
    <w:rsid w:val="00640684"/>
    <w:rsid w:val="006418DD"/>
    <w:rsid w:val="00642120"/>
    <w:rsid w:val="00643B17"/>
    <w:rsid w:val="00643E62"/>
    <w:rsid w:val="006444F4"/>
    <w:rsid w:val="006453B9"/>
    <w:rsid w:val="00646BB9"/>
    <w:rsid w:val="00653FBA"/>
    <w:rsid w:val="006552A9"/>
    <w:rsid w:val="00655A9D"/>
    <w:rsid w:val="00657EAF"/>
    <w:rsid w:val="00657F52"/>
    <w:rsid w:val="00660315"/>
    <w:rsid w:val="0066093D"/>
    <w:rsid w:val="0066254D"/>
    <w:rsid w:val="006628E0"/>
    <w:rsid w:val="00667AC0"/>
    <w:rsid w:val="00667CAB"/>
    <w:rsid w:val="0067302C"/>
    <w:rsid w:val="006755A8"/>
    <w:rsid w:val="00675CFD"/>
    <w:rsid w:val="00675FDA"/>
    <w:rsid w:val="006778DB"/>
    <w:rsid w:val="006816AC"/>
    <w:rsid w:val="00681996"/>
    <w:rsid w:val="00681E89"/>
    <w:rsid w:val="00684498"/>
    <w:rsid w:val="0068458E"/>
    <w:rsid w:val="0068789A"/>
    <w:rsid w:val="00687CBD"/>
    <w:rsid w:val="00690E5D"/>
    <w:rsid w:val="00691E73"/>
    <w:rsid w:val="00693DE0"/>
    <w:rsid w:val="006947F9"/>
    <w:rsid w:val="006956BB"/>
    <w:rsid w:val="006A02B9"/>
    <w:rsid w:val="006A2086"/>
    <w:rsid w:val="006A2A5F"/>
    <w:rsid w:val="006A3EC3"/>
    <w:rsid w:val="006A512F"/>
    <w:rsid w:val="006A6036"/>
    <w:rsid w:val="006A62E7"/>
    <w:rsid w:val="006A6756"/>
    <w:rsid w:val="006A6E3F"/>
    <w:rsid w:val="006B1A5B"/>
    <w:rsid w:val="006B202B"/>
    <w:rsid w:val="006B2C67"/>
    <w:rsid w:val="006B4070"/>
    <w:rsid w:val="006B47DD"/>
    <w:rsid w:val="006B4C22"/>
    <w:rsid w:val="006B52F1"/>
    <w:rsid w:val="006B53D9"/>
    <w:rsid w:val="006B571F"/>
    <w:rsid w:val="006B57C6"/>
    <w:rsid w:val="006B62E0"/>
    <w:rsid w:val="006C02B9"/>
    <w:rsid w:val="006C2614"/>
    <w:rsid w:val="006C2880"/>
    <w:rsid w:val="006C2F5C"/>
    <w:rsid w:val="006C4B9D"/>
    <w:rsid w:val="006C501F"/>
    <w:rsid w:val="006C5D7B"/>
    <w:rsid w:val="006C6EC3"/>
    <w:rsid w:val="006D0ECD"/>
    <w:rsid w:val="006E17AE"/>
    <w:rsid w:val="006E368B"/>
    <w:rsid w:val="006E462C"/>
    <w:rsid w:val="006E490E"/>
    <w:rsid w:val="006F2250"/>
    <w:rsid w:val="006F3C79"/>
    <w:rsid w:val="006F4637"/>
    <w:rsid w:val="006F5BDE"/>
    <w:rsid w:val="00700316"/>
    <w:rsid w:val="00701969"/>
    <w:rsid w:val="0070276E"/>
    <w:rsid w:val="0070392A"/>
    <w:rsid w:val="00704648"/>
    <w:rsid w:val="00704B95"/>
    <w:rsid w:val="00704BE7"/>
    <w:rsid w:val="00707B3D"/>
    <w:rsid w:val="00710F67"/>
    <w:rsid w:val="007128DC"/>
    <w:rsid w:val="00714BF9"/>
    <w:rsid w:val="0071576F"/>
    <w:rsid w:val="00717E40"/>
    <w:rsid w:val="00721282"/>
    <w:rsid w:val="00721A61"/>
    <w:rsid w:val="00721B2A"/>
    <w:rsid w:val="00721C26"/>
    <w:rsid w:val="007231F7"/>
    <w:rsid w:val="007234AA"/>
    <w:rsid w:val="00724171"/>
    <w:rsid w:val="00724E1E"/>
    <w:rsid w:val="007265E3"/>
    <w:rsid w:val="00731A20"/>
    <w:rsid w:val="007321F7"/>
    <w:rsid w:val="00732B75"/>
    <w:rsid w:val="00733218"/>
    <w:rsid w:val="007338E0"/>
    <w:rsid w:val="007362CE"/>
    <w:rsid w:val="00736683"/>
    <w:rsid w:val="00736744"/>
    <w:rsid w:val="00736A3F"/>
    <w:rsid w:val="00736FD1"/>
    <w:rsid w:val="007370FD"/>
    <w:rsid w:val="00737204"/>
    <w:rsid w:val="00740DC9"/>
    <w:rsid w:val="00741CEF"/>
    <w:rsid w:val="007428E6"/>
    <w:rsid w:val="00744C6E"/>
    <w:rsid w:val="007453F5"/>
    <w:rsid w:val="00746EA1"/>
    <w:rsid w:val="00747B1D"/>
    <w:rsid w:val="00750665"/>
    <w:rsid w:val="00750B8D"/>
    <w:rsid w:val="0075167E"/>
    <w:rsid w:val="00751D38"/>
    <w:rsid w:val="00752E5A"/>
    <w:rsid w:val="00752F60"/>
    <w:rsid w:val="0075499D"/>
    <w:rsid w:val="00754CD4"/>
    <w:rsid w:val="007561BF"/>
    <w:rsid w:val="00757C62"/>
    <w:rsid w:val="007602E4"/>
    <w:rsid w:val="00762126"/>
    <w:rsid w:val="0076387B"/>
    <w:rsid w:val="00763F64"/>
    <w:rsid w:val="00764259"/>
    <w:rsid w:val="00765D71"/>
    <w:rsid w:val="00775B09"/>
    <w:rsid w:val="00780FF6"/>
    <w:rsid w:val="007834A7"/>
    <w:rsid w:val="00790229"/>
    <w:rsid w:val="00790627"/>
    <w:rsid w:val="00790D74"/>
    <w:rsid w:val="00794BB4"/>
    <w:rsid w:val="0079579C"/>
    <w:rsid w:val="007A0DCF"/>
    <w:rsid w:val="007A2C9E"/>
    <w:rsid w:val="007A4803"/>
    <w:rsid w:val="007A56B5"/>
    <w:rsid w:val="007A73D5"/>
    <w:rsid w:val="007A78DA"/>
    <w:rsid w:val="007B0066"/>
    <w:rsid w:val="007B1353"/>
    <w:rsid w:val="007B240B"/>
    <w:rsid w:val="007B27C6"/>
    <w:rsid w:val="007B2BDA"/>
    <w:rsid w:val="007B2D78"/>
    <w:rsid w:val="007B3285"/>
    <w:rsid w:val="007B4084"/>
    <w:rsid w:val="007B6A20"/>
    <w:rsid w:val="007B75DF"/>
    <w:rsid w:val="007C0258"/>
    <w:rsid w:val="007C0358"/>
    <w:rsid w:val="007C04FF"/>
    <w:rsid w:val="007C1F7E"/>
    <w:rsid w:val="007C509C"/>
    <w:rsid w:val="007C5733"/>
    <w:rsid w:val="007C7344"/>
    <w:rsid w:val="007C74B3"/>
    <w:rsid w:val="007D07CE"/>
    <w:rsid w:val="007D3788"/>
    <w:rsid w:val="007D5750"/>
    <w:rsid w:val="007D669F"/>
    <w:rsid w:val="007E1402"/>
    <w:rsid w:val="007E21FE"/>
    <w:rsid w:val="007E26F3"/>
    <w:rsid w:val="007E4130"/>
    <w:rsid w:val="007E461F"/>
    <w:rsid w:val="007E4639"/>
    <w:rsid w:val="007E5FA5"/>
    <w:rsid w:val="007E6534"/>
    <w:rsid w:val="007F04EA"/>
    <w:rsid w:val="007F18D5"/>
    <w:rsid w:val="007F3245"/>
    <w:rsid w:val="007F333E"/>
    <w:rsid w:val="007F3660"/>
    <w:rsid w:val="007F3965"/>
    <w:rsid w:val="007F4EAD"/>
    <w:rsid w:val="007F519B"/>
    <w:rsid w:val="007F6D58"/>
    <w:rsid w:val="007F777A"/>
    <w:rsid w:val="007F77BF"/>
    <w:rsid w:val="00801236"/>
    <w:rsid w:val="00801240"/>
    <w:rsid w:val="00801660"/>
    <w:rsid w:val="008017B0"/>
    <w:rsid w:val="008022EB"/>
    <w:rsid w:val="008043F8"/>
    <w:rsid w:val="00804F12"/>
    <w:rsid w:val="00805266"/>
    <w:rsid w:val="00805381"/>
    <w:rsid w:val="0080593B"/>
    <w:rsid w:val="00805E06"/>
    <w:rsid w:val="00806565"/>
    <w:rsid w:val="008071FF"/>
    <w:rsid w:val="00811D82"/>
    <w:rsid w:val="00811F67"/>
    <w:rsid w:val="00813395"/>
    <w:rsid w:val="00815A43"/>
    <w:rsid w:val="008165B1"/>
    <w:rsid w:val="00817E80"/>
    <w:rsid w:val="00821D3E"/>
    <w:rsid w:val="008238D0"/>
    <w:rsid w:val="00825140"/>
    <w:rsid w:val="00826C04"/>
    <w:rsid w:val="00827614"/>
    <w:rsid w:val="00830B90"/>
    <w:rsid w:val="0083140D"/>
    <w:rsid w:val="00831756"/>
    <w:rsid w:val="00834D8F"/>
    <w:rsid w:val="00834EFE"/>
    <w:rsid w:val="00840143"/>
    <w:rsid w:val="00840EA7"/>
    <w:rsid w:val="00841BEC"/>
    <w:rsid w:val="008448CA"/>
    <w:rsid w:val="008466BE"/>
    <w:rsid w:val="008467EE"/>
    <w:rsid w:val="00850B82"/>
    <w:rsid w:val="00852194"/>
    <w:rsid w:val="0085486E"/>
    <w:rsid w:val="008553A4"/>
    <w:rsid w:val="00856316"/>
    <w:rsid w:val="00856D20"/>
    <w:rsid w:val="00860D8A"/>
    <w:rsid w:val="00861DDB"/>
    <w:rsid w:val="00861E7A"/>
    <w:rsid w:val="0086442B"/>
    <w:rsid w:val="0086626A"/>
    <w:rsid w:val="008671D5"/>
    <w:rsid w:val="00870AB0"/>
    <w:rsid w:val="00871360"/>
    <w:rsid w:val="008744FB"/>
    <w:rsid w:val="00875CA3"/>
    <w:rsid w:val="00876576"/>
    <w:rsid w:val="00880B53"/>
    <w:rsid w:val="0088134C"/>
    <w:rsid w:val="008815A0"/>
    <w:rsid w:val="00881B49"/>
    <w:rsid w:val="00882D00"/>
    <w:rsid w:val="00883A0A"/>
    <w:rsid w:val="0088473A"/>
    <w:rsid w:val="00885D47"/>
    <w:rsid w:val="00885EB1"/>
    <w:rsid w:val="00886C07"/>
    <w:rsid w:val="0089030E"/>
    <w:rsid w:val="00891B29"/>
    <w:rsid w:val="00891BB8"/>
    <w:rsid w:val="00891C8E"/>
    <w:rsid w:val="00892DD3"/>
    <w:rsid w:val="00892EC6"/>
    <w:rsid w:val="00893D44"/>
    <w:rsid w:val="008A2C2D"/>
    <w:rsid w:val="008A4E3B"/>
    <w:rsid w:val="008B1789"/>
    <w:rsid w:val="008B4726"/>
    <w:rsid w:val="008B73D1"/>
    <w:rsid w:val="008B7D05"/>
    <w:rsid w:val="008C0128"/>
    <w:rsid w:val="008C10E6"/>
    <w:rsid w:val="008C1603"/>
    <w:rsid w:val="008C1829"/>
    <w:rsid w:val="008C2362"/>
    <w:rsid w:val="008C3B24"/>
    <w:rsid w:val="008C50A8"/>
    <w:rsid w:val="008C52C2"/>
    <w:rsid w:val="008D11E6"/>
    <w:rsid w:val="008D3654"/>
    <w:rsid w:val="008D5B2A"/>
    <w:rsid w:val="008D5CDD"/>
    <w:rsid w:val="008D798E"/>
    <w:rsid w:val="008D7A6B"/>
    <w:rsid w:val="008D7DB6"/>
    <w:rsid w:val="008D7E26"/>
    <w:rsid w:val="008E182A"/>
    <w:rsid w:val="008E2003"/>
    <w:rsid w:val="008E221A"/>
    <w:rsid w:val="008E224D"/>
    <w:rsid w:val="008E2459"/>
    <w:rsid w:val="008E312F"/>
    <w:rsid w:val="008E3D65"/>
    <w:rsid w:val="008E5523"/>
    <w:rsid w:val="008E570E"/>
    <w:rsid w:val="008E6F71"/>
    <w:rsid w:val="008F510A"/>
    <w:rsid w:val="008F51BB"/>
    <w:rsid w:val="008F5917"/>
    <w:rsid w:val="008F63C1"/>
    <w:rsid w:val="008F6761"/>
    <w:rsid w:val="008F6A2F"/>
    <w:rsid w:val="008F73F8"/>
    <w:rsid w:val="00905045"/>
    <w:rsid w:val="00906C53"/>
    <w:rsid w:val="00906FD1"/>
    <w:rsid w:val="00907AE7"/>
    <w:rsid w:val="009106F4"/>
    <w:rsid w:val="00910FC3"/>
    <w:rsid w:val="00911295"/>
    <w:rsid w:val="009154A0"/>
    <w:rsid w:val="009164CA"/>
    <w:rsid w:val="00917B7E"/>
    <w:rsid w:val="00924146"/>
    <w:rsid w:val="00925CA8"/>
    <w:rsid w:val="0092678D"/>
    <w:rsid w:val="00927F38"/>
    <w:rsid w:val="00931562"/>
    <w:rsid w:val="00931A55"/>
    <w:rsid w:val="0093324F"/>
    <w:rsid w:val="00934BD8"/>
    <w:rsid w:val="0093514E"/>
    <w:rsid w:val="00936C6C"/>
    <w:rsid w:val="0093743B"/>
    <w:rsid w:val="009404B1"/>
    <w:rsid w:val="00941A2C"/>
    <w:rsid w:val="00943584"/>
    <w:rsid w:val="00944D3B"/>
    <w:rsid w:val="009458F4"/>
    <w:rsid w:val="009466B4"/>
    <w:rsid w:val="00947709"/>
    <w:rsid w:val="00950BC7"/>
    <w:rsid w:val="00952277"/>
    <w:rsid w:val="00952517"/>
    <w:rsid w:val="0095601B"/>
    <w:rsid w:val="009577A7"/>
    <w:rsid w:val="00957A2F"/>
    <w:rsid w:val="009615AE"/>
    <w:rsid w:val="009620BE"/>
    <w:rsid w:val="00962553"/>
    <w:rsid w:val="00962948"/>
    <w:rsid w:val="009643EC"/>
    <w:rsid w:val="00966953"/>
    <w:rsid w:val="00966FCC"/>
    <w:rsid w:val="009762C1"/>
    <w:rsid w:val="00981B77"/>
    <w:rsid w:val="00982414"/>
    <w:rsid w:val="00984471"/>
    <w:rsid w:val="009846C0"/>
    <w:rsid w:val="00984716"/>
    <w:rsid w:val="00984841"/>
    <w:rsid w:val="00984F3C"/>
    <w:rsid w:val="009857B0"/>
    <w:rsid w:val="0098649C"/>
    <w:rsid w:val="00986542"/>
    <w:rsid w:val="00987015"/>
    <w:rsid w:val="009878A4"/>
    <w:rsid w:val="00987CDF"/>
    <w:rsid w:val="00991D43"/>
    <w:rsid w:val="009939D3"/>
    <w:rsid w:val="009950AF"/>
    <w:rsid w:val="009965A5"/>
    <w:rsid w:val="00996E0C"/>
    <w:rsid w:val="009A0283"/>
    <w:rsid w:val="009A05F7"/>
    <w:rsid w:val="009B1667"/>
    <w:rsid w:val="009B19B7"/>
    <w:rsid w:val="009B25BE"/>
    <w:rsid w:val="009B280E"/>
    <w:rsid w:val="009B294C"/>
    <w:rsid w:val="009B50E0"/>
    <w:rsid w:val="009C1A6C"/>
    <w:rsid w:val="009C236A"/>
    <w:rsid w:val="009C3EBC"/>
    <w:rsid w:val="009C5699"/>
    <w:rsid w:val="009C61A2"/>
    <w:rsid w:val="009C63D9"/>
    <w:rsid w:val="009C64B0"/>
    <w:rsid w:val="009C6AA9"/>
    <w:rsid w:val="009C6B86"/>
    <w:rsid w:val="009C7233"/>
    <w:rsid w:val="009C74AF"/>
    <w:rsid w:val="009D2B86"/>
    <w:rsid w:val="009D2D4B"/>
    <w:rsid w:val="009D2F4A"/>
    <w:rsid w:val="009D42D2"/>
    <w:rsid w:val="009D4613"/>
    <w:rsid w:val="009D6555"/>
    <w:rsid w:val="009D6782"/>
    <w:rsid w:val="009D6EBD"/>
    <w:rsid w:val="009E1468"/>
    <w:rsid w:val="009E1CA3"/>
    <w:rsid w:val="009E1DF0"/>
    <w:rsid w:val="009E3241"/>
    <w:rsid w:val="009E34BA"/>
    <w:rsid w:val="009E369A"/>
    <w:rsid w:val="009E3B64"/>
    <w:rsid w:val="009E485A"/>
    <w:rsid w:val="009E545A"/>
    <w:rsid w:val="009E66BD"/>
    <w:rsid w:val="009F0D6A"/>
    <w:rsid w:val="009F3276"/>
    <w:rsid w:val="009F7E86"/>
    <w:rsid w:val="00A001F4"/>
    <w:rsid w:val="00A0412C"/>
    <w:rsid w:val="00A05CE7"/>
    <w:rsid w:val="00A0615C"/>
    <w:rsid w:val="00A067A5"/>
    <w:rsid w:val="00A075AB"/>
    <w:rsid w:val="00A10967"/>
    <w:rsid w:val="00A10AE4"/>
    <w:rsid w:val="00A12305"/>
    <w:rsid w:val="00A152A0"/>
    <w:rsid w:val="00A16798"/>
    <w:rsid w:val="00A168EF"/>
    <w:rsid w:val="00A17B27"/>
    <w:rsid w:val="00A17C11"/>
    <w:rsid w:val="00A17CC8"/>
    <w:rsid w:val="00A20E32"/>
    <w:rsid w:val="00A21E79"/>
    <w:rsid w:val="00A22040"/>
    <w:rsid w:val="00A25807"/>
    <w:rsid w:val="00A319BC"/>
    <w:rsid w:val="00A32319"/>
    <w:rsid w:val="00A3377B"/>
    <w:rsid w:val="00A3474E"/>
    <w:rsid w:val="00A35D6A"/>
    <w:rsid w:val="00A361BD"/>
    <w:rsid w:val="00A40A92"/>
    <w:rsid w:val="00A42166"/>
    <w:rsid w:val="00A428C6"/>
    <w:rsid w:val="00A43189"/>
    <w:rsid w:val="00A43BBB"/>
    <w:rsid w:val="00A4508D"/>
    <w:rsid w:val="00A47BA4"/>
    <w:rsid w:val="00A509E6"/>
    <w:rsid w:val="00A50F0D"/>
    <w:rsid w:val="00A534F1"/>
    <w:rsid w:val="00A53686"/>
    <w:rsid w:val="00A53B2F"/>
    <w:rsid w:val="00A562B2"/>
    <w:rsid w:val="00A5719B"/>
    <w:rsid w:val="00A574DD"/>
    <w:rsid w:val="00A63340"/>
    <w:rsid w:val="00A63466"/>
    <w:rsid w:val="00A64031"/>
    <w:rsid w:val="00A65310"/>
    <w:rsid w:val="00A7060B"/>
    <w:rsid w:val="00A72584"/>
    <w:rsid w:val="00A75F71"/>
    <w:rsid w:val="00A83671"/>
    <w:rsid w:val="00A85181"/>
    <w:rsid w:val="00A86C5E"/>
    <w:rsid w:val="00A872AA"/>
    <w:rsid w:val="00A90C01"/>
    <w:rsid w:val="00A91D7C"/>
    <w:rsid w:val="00A96BDF"/>
    <w:rsid w:val="00AA1CAA"/>
    <w:rsid w:val="00AA2C4D"/>
    <w:rsid w:val="00AA4B8E"/>
    <w:rsid w:val="00AA5054"/>
    <w:rsid w:val="00AA5724"/>
    <w:rsid w:val="00AA73ED"/>
    <w:rsid w:val="00AB01AA"/>
    <w:rsid w:val="00AB0FD2"/>
    <w:rsid w:val="00AB1AEA"/>
    <w:rsid w:val="00AB4CA9"/>
    <w:rsid w:val="00AB4E4D"/>
    <w:rsid w:val="00AB5E97"/>
    <w:rsid w:val="00AB6E89"/>
    <w:rsid w:val="00AC072C"/>
    <w:rsid w:val="00AC25C1"/>
    <w:rsid w:val="00AC26BB"/>
    <w:rsid w:val="00AC2C72"/>
    <w:rsid w:val="00AC6E87"/>
    <w:rsid w:val="00AC7200"/>
    <w:rsid w:val="00AC762D"/>
    <w:rsid w:val="00AD0338"/>
    <w:rsid w:val="00AD1D69"/>
    <w:rsid w:val="00AD2F74"/>
    <w:rsid w:val="00AD3D96"/>
    <w:rsid w:val="00AD43D6"/>
    <w:rsid w:val="00AD44E7"/>
    <w:rsid w:val="00AD5A5F"/>
    <w:rsid w:val="00AD7655"/>
    <w:rsid w:val="00AE2B2F"/>
    <w:rsid w:val="00AE39D4"/>
    <w:rsid w:val="00AE4DFA"/>
    <w:rsid w:val="00AE5BC0"/>
    <w:rsid w:val="00AF02A1"/>
    <w:rsid w:val="00AF0A39"/>
    <w:rsid w:val="00AF1339"/>
    <w:rsid w:val="00AF1709"/>
    <w:rsid w:val="00AF1ACD"/>
    <w:rsid w:val="00AF2199"/>
    <w:rsid w:val="00AF36DC"/>
    <w:rsid w:val="00AF4222"/>
    <w:rsid w:val="00AF49C2"/>
    <w:rsid w:val="00AF693A"/>
    <w:rsid w:val="00B00F50"/>
    <w:rsid w:val="00B01741"/>
    <w:rsid w:val="00B0312D"/>
    <w:rsid w:val="00B04E3A"/>
    <w:rsid w:val="00B0591D"/>
    <w:rsid w:val="00B06296"/>
    <w:rsid w:val="00B076DB"/>
    <w:rsid w:val="00B10646"/>
    <w:rsid w:val="00B10B6D"/>
    <w:rsid w:val="00B117CD"/>
    <w:rsid w:val="00B12554"/>
    <w:rsid w:val="00B13432"/>
    <w:rsid w:val="00B1388F"/>
    <w:rsid w:val="00B14186"/>
    <w:rsid w:val="00B1612F"/>
    <w:rsid w:val="00B202C9"/>
    <w:rsid w:val="00B232E1"/>
    <w:rsid w:val="00B23F72"/>
    <w:rsid w:val="00B25081"/>
    <w:rsid w:val="00B25E73"/>
    <w:rsid w:val="00B267A9"/>
    <w:rsid w:val="00B314EE"/>
    <w:rsid w:val="00B33143"/>
    <w:rsid w:val="00B33377"/>
    <w:rsid w:val="00B33424"/>
    <w:rsid w:val="00B33B03"/>
    <w:rsid w:val="00B33E30"/>
    <w:rsid w:val="00B3458B"/>
    <w:rsid w:val="00B34D69"/>
    <w:rsid w:val="00B35F18"/>
    <w:rsid w:val="00B3744F"/>
    <w:rsid w:val="00B40FC7"/>
    <w:rsid w:val="00B508EF"/>
    <w:rsid w:val="00B51266"/>
    <w:rsid w:val="00B513F5"/>
    <w:rsid w:val="00B5189B"/>
    <w:rsid w:val="00B51BA7"/>
    <w:rsid w:val="00B51D86"/>
    <w:rsid w:val="00B51D99"/>
    <w:rsid w:val="00B51F18"/>
    <w:rsid w:val="00B526CB"/>
    <w:rsid w:val="00B538CF"/>
    <w:rsid w:val="00B54D6F"/>
    <w:rsid w:val="00B56351"/>
    <w:rsid w:val="00B60C7B"/>
    <w:rsid w:val="00B610DA"/>
    <w:rsid w:val="00B62E8F"/>
    <w:rsid w:val="00B63374"/>
    <w:rsid w:val="00B6426B"/>
    <w:rsid w:val="00B64418"/>
    <w:rsid w:val="00B66C7C"/>
    <w:rsid w:val="00B704E1"/>
    <w:rsid w:val="00B74395"/>
    <w:rsid w:val="00B76004"/>
    <w:rsid w:val="00B7624E"/>
    <w:rsid w:val="00B76EA3"/>
    <w:rsid w:val="00B77065"/>
    <w:rsid w:val="00B778FD"/>
    <w:rsid w:val="00B80182"/>
    <w:rsid w:val="00B80C84"/>
    <w:rsid w:val="00B83DFB"/>
    <w:rsid w:val="00B85AB0"/>
    <w:rsid w:val="00B85C15"/>
    <w:rsid w:val="00B87698"/>
    <w:rsid w:val="00B912C1"/>
    <w:rsid w:val="00B9238F"/>
    <w:rsid w:val="00B936D7"/>
    <w:rsid w:val="00B94E82"/>
    <w:rsid w:val="00B9774C"/>
    <w:rsid w:val="00BA0228"/>
    <w:rsid w:val="00BA12DD"/>
    <w:rsid w:val="00BA18C3"/>
    <w:rsid w:val="00BA1B58"/>
    <w:rsid w:val="00BA34B2"/>
    <w:rsid w:val="00BA4834"/>
    <w:rsid w:val="00BA6A46"/>
    <w:rsid w:val="00BA7CD6"/>
    <w:rsid w:val="00BB103C"/>
    <w:rsid w:val="00BB10A2"/>
    <w:rsid w:val="00BB617D"/>
    <w:rsid w:val="00BB6D7A"/>
    <w:rsid w:val="00BB76EB"/>
    <w:rsid w:val="00BC2D69"/>
    <w:rsid w:val="00BC2EE7"/>
    <w:rsid w:val="00BC67C7"/>
    <w:rsid w:val="00BD2256"/>
    <w:rsid w:val="00BD28B6"/>
    <w:rsid w:val="00BD4B38"/>
    <w:rsid w:val="00BD58C3"/>
    <w:rsid w:val="00BD5960"/>
    <w:rsid w:val="00BE1942"/>
    <w:rsid w:val="00BE23FC"/>
    <w:rsid w:val="00BE2E8B"/>
    <w:rsid w:val="00BE4DE0"/>
    <w:rsid w:val="00BE5954"/>
    <w:rsid w:val="00BE5CC3"/>
    <w:rsid w:val="00BE5CC4"/>
    <w:rsid w:val="00BE6E9B"/>
    <w:rsid w:val="00BF08DA"/>
    <w:rsid w:val="00BF1DAA"/>
    <w:rsid w:val="00BF3782"/>
    <w:rsid w:val="00BF425B"/>
    <w:rsid w:val="00BF5D92"/>
    <w:rsid w:val="00BF74BA"/>
    <w:rsid w:val="00C0080D"/>
    <w:rsid w:val="00C018FC"/>
    <w:rsid w:val="00C037BF"/>
    <w:rsid w:val="00C04D54"/>
    <w:rsid w:val="00C0533D"/>
    <w:rsid w:val="00C06E9A"/>
    <w:rsid w:val="00C1039A"/>
    <w:rsid w:val="00C11330"/>
    <w:rsid w:val="00C11CBD"/>
    <w:rsid w:val="00C11E7C"/>
    <w:rsid w:val="00C14510"/>
    <w:rsid w:val="00C23068"/>
    <w:rsid w:val="00C23CB2"/>
    <w:rsid w:val="00C2676E"/>
    <w:rsid w:val="00C3063F"/>
    <w:rsid w:val="00C31DC6"/>
    <w:rsid w:val="00C326C8"/>
    <w:rsid w:val="00C35D20"/>
    <w:rsid w:val="00C36758"/>
    <w:rsid w:val="00C37D4F"/>
    <w:rsid w:val="00C41509"/>
    <w:rsid w:val="00C43015"/>
    <w:rsid w:val="00C43F68"/>
    <w:rsid w:val="00C44C15"/>
    <w:rsid w:val="00C46276"/>
    <w:rsid w:val="00C50393"/>
    <w:rsid w:val="00C54ACE"/>
    <w:rsid w:val="00C54B27"/>
    <w:rsid w:val="00C55C72"/>
    <w:rsid w:val="00C57369"/>
    <w:rsid w:val="00C600E9"/>
    <w:rsid w:val="00C628E7"/>
    <w:rsid w:val="00C63AC7"/>
    <w:rsid w:val="00C65AF5"/>
    <w:rsid w:val="00C70778"/>
    <w:rsid w:val="00C717BD"/>
    <w:rsid w:val="00C72D02"/>
    <w:rsid w:val="00C759E7"/>
    <w:rsid w:val="00C75E49"/>
    <w:rsid w:val="00C7622D"/>
    <w:rsid w:val="00C80901"/>
    <w:rsid w:val="00C80A53"/>
    <w:rsid w:val="00C82316"/>
    <w:rsid w:val="00C823AF"/>
    <w:rsid w:val="00C8366C"/>
    <w:rsid w:val="00C83974"/>
    <w:rsid w:val="00C83BFC"/>
    <w:rsid w:val="00C84152"/>
    <w:rsid w:val="00C90322"/>
    <w:rsid w:val="00C923E9"/>
    <w:rsid w:val="00C92710"/>
    <w:rsid w:val="00C94249"/>
    <w:rsid w:val="00CA00A3"/>
    <w:rsid w:val="00CA230C"/>
    <w:rsid w:val="00CA5F30"/>
    <w:rsid w:val="00CA62F5"/>
    <w:rsid w:val="00CA68F4"/>
    <w:rsid w:val="00CA6EDE"/>
    <w:rsid w:val="00CA70FB"/>
    <w:rsid w:val="00CA795C"/>
    <w:rsid w:val="00CB1672"/>
    <w:rsid w:val="00CB2F48"/>
    <w:rsid w:val="00CB354E"/>
    <w:rsid w:val="00CB3776"/>
    <w:rsid w:val="00CB4C17"/>
    <w:rsid w:val="00CB6DA6"/>
    <w:rsid w:val="00CB6E3C"/>
    <w:rsid w:val="00CB71BE"/>
    <w:rsid w:val="00CC2206"/>
    <w:rsid w:val="00CC3703"/>
    <w:rsid w:val="00CC51D1"/>
    <w:rsid w:val="00CC69BC"/>
    <w:rsid w:val="00CD207B"/>
    <w:rsid w:val="00CD571D"/>
    <w:rsid w:val="00CD6290"/>
    <w:rsid w:val="00CD6F61"/>
    <w:rsid w:val="00CD7A5F"/>
    <w:rsid w:val="00CE0C92"/>
    <w:rsid w:val="00CE13D6"/>
    <w:rsid w:val="00CE3DF1"/>
    <w:rsid w:val="00CE546A"/>
    <w:rsid w:val="00CE6822"/>
    <w:rsid w:val="00CE7B28"/>
    <w:rsid w:val="00CF168F"/>
    <w:rsid w:val="00CF441F"/>
    <w:rsid w:val="00CF4E79"/>
    <w:rsid w:val="00D00977"/>
    <w:rsid w:val="00D01E37"/>
    <w:rsid w:val="00D021D2"/>
    <w:rsid w:val="00D02A08"/>
    <w:rsid w:val="00D02BE6"/>
    <w:rsid w:val="00D0315C"/>
    <w:rsid w:val="00D0389F"/>
    <w:rsid w:val="00D05210"/>
    <w:rsid w:val="00D0564E"/>
    <w:rsid w:val="00D056E8"/>
    <w:rsid w:val="00D07B6A"/>
    <w:rsid w:val="00D10FDA"/>
    <w:rsid w:val="00D14D67"/>
    <w:rsid w:val="00D16C85"/>
    <w:rsid w:val="00D24F2D"/>
    <w:rsid w:val="00D261AD"/>
    <w:rsid w:val="00D321E0"/>
    <w:rsid w:val="00D348AD"/>
    <w:rsid w:val="00D34A3C"/>
    <w:rsid w:val="00D3541D"/>
    <w:rsid w:val="00D369D2"/>
    <w:rsid w:val="00D37535"/>
    <w:rsid w:val="00D40C51"/>
    <w:rsid w:val="00D4383D"/>
    <w:rsid w:val="00D43A62"/>
    <w:rsid w:val="00D50CAD"/>
    <w:rsid w:val="00D51F17"/>
    <w:rsid w:val="00D52229"/>
    <w:rsid w:val="00D53B88"/>
    <w:rsid w:val="00D54688"/>
    <w:rsid w:val="00D559F1"/>
    <w:rsid w:val="00D57076"/>
    <w:rsid w:val="00D600D6"/>
    <w:rsid w:val="00D60945"/>
    <w:rsid w:val="00D6177B"/>
    <w:rsid w:val="00D65F2F"/>
    <w:rsid w:val="00D67B37"/>
    <w:rsid w:val="00D7005B"/>
    <w:rsid w:val="00D70221"/>
    <w:rsid w:val="00D71FDC"/>
    <w:rsid w:val="00D729DB"/>
    <w:rsid w:val="00D739C4"/>
    <w:rsid w:val="00D7464A"/>
    <w:rsid w:val="00D74CB4"/>
    <w:rsid w:val="00D750EB"/>
    <w:rsid w:val="00D75AC7"/>
    <w:rsid w:val="00D762F0"/>
    <w:rsid w:val="00D76E9D"/>
    <w:rsid w:val="00D81B9B"/>
    <w:rsid w:val="00D828D9"/>
    <w:rsid w:val="00D85DD7"/>
    <w:rsid w:val="00D8691C"/>
    <w:rsid w:val="00D87320"/>
    <w:rsid w:val="00D87F3E"/>
    <w:rsid w:val="00D90EF2"/>
    <w:rsid w:val="00D91750"/>
    <w:rsid w:val="00D950F7"/>
    <w:rsid w:val="00D968F5"/>
    <w:rsid w:val="00D9720F"/>
    <w:rsid w:val="00DA11A0"/>
    <w:rsid w:val="00DA16BC"/>
    <w:rsid w:val="00DA628A"/>
    <w:rsid w:val="00DA6B24"/>
    <w:rsid w:val="00DA6B42"/>
    <w:rsid w:val="00DA6F32"/>
    <w:rsid w:val="00DA6F65"/>
    <w:rsid w:val="00DA7C43"/>
    <w:rsid w:val="00DB0570"/>
    <w:rsid w:val="00DB3FD0"/>
    <w:rsid w:val="00DB4099"/>
    <w:rsid w:val="00DB4486"/>
    <w:rsid w:val="00DB449B"/>
    <w:rsid w:val="00DB4DAD"/>
    <w:rsid w:val="00DB608A"/>
    <w:rsid w:val="00DB6315"/>
    <w:rsid w:val="00DB765A"/>
    <w:rsid w:val="00DC1682"/>
    <w:rsid w:val="00DC1861"/>
    <w:rsid w:val="00DC1A67"/>
    <w:rsid w:val="00DC317D"/>
    <w:rsid w:val="00DC3225"/>
    <w:rsid w:val="00DC7CE5"/>
    <w:rsid w:val="00DD34BA"/>
    <w:rsid w:val="00DD4A47"/>
    <w:rsid w:val="00DD6908"/>
    <w:rsid w:val="00DD6D56"/>
    <w:rsid w:val="00DD6EA7"/>
    <w:rsid w:val="00DD7735"/>
    <w:rsid w:val="00DE2129"/>
    <w:rsid w:val="00DE3967"/>
    <w:rsid w:val="00DE3D23"/>
    <w:rsid w:val="00DE46DB"/>
    <w:rsid w:val="00DE55AA"/>
    <w:rsid w:val="00DE5A00"/>
    <w:rsid w:val="00DF16B6"/>
    <w:rsid w:val="00DF1AB7"/>
    <w:rsid w:val="00DF3154"/>
    <w:rsid w:val="00DF4084"/>
    <w:rsid w:val="00DF57D5"/>
    <w:rsid w:val="00DF7137"/>
    <w:rsid w:val="00DF727A"/>
    <w:rsid w:val="00DF745D"/>
    <w:rsid w:val="00E01220"/>
    <w:rsid w:val="00E02F61"/>
    <w:rsid w:val="00E03FE7"/>
    <w:rsid w:val="00E045E0"/>
    <w:rsid w:val="00E0492F"/>
    <w:rsid w:val="00E04CB2"/>
    <w:rsid w:val="00E04D9E"/>
    <w:rsid w:val="00E06D67"/>
    <w:rsid w:val="00E10E60"/>
    <w:rsid w:val="00E1208E"/>
    <w:rsid w:val="00E12A8A"/>
    <w:rsid w:val="00E13188"/>
    <w:rsid w:val="00E155F3"/>
    <w:rsid w:val="00E1618A"/>
    <w:rsid w:val="00E16D96"/>
    <w:rsid w:val="00E16E83"/>
    <w:rsid w:val="00E16EE9"/>
    <w:rsid w:val="00E21DA3"/>
    <w:rsid w:val="00E21F59"/>
    <w:rsid w:val="00E254F2"/>
    <w:rsid w:val="00E26E7F"/>
    <w:rsid w:val="00E270CA"/>
    <w:rsid w:val="00E30B09"/>
    <w:rsid w:val="00E317DB"/>
    <w:rsid w:val="00E32F52"/>
    <w:rsid w:val="00E333D7"/>
    <w:rsid w:val="00E348EC"/>
    <w:rsid w:val="00E349A9"/>
    <w:rsid w:val="00E35FDD"/>
    <w:rsid w:val="00E36FDF"/>
    <w:rsid w:val="00E37E3C"/>
    <w:rsid w:val="00E408E2"/>
    <w:rsid w:val="00E42072"/>
    <w:rsid w:val="00E43091"/>
    <w:rsid w:val="00E447A4"/>
    <w:rsid w:val="00E448A9"/>
    <w:rsid w:val="00E46ABB"/>
    <w:rsid w:val="00E46B76"/>
    <w:rsid w:val="00E472D5"/>
    <w:rsid w:val="00E5253E"/>
    <w:rsid w:val="00E54129"/>
    <w:rsid w:val="00E54557"/>
    <w:rsid w:val="00E609BD"/>
    <w:rsid w:val="00E60A00"/>
    <w:rsid w:val="00E625D3"/>
    <w:rsid w:val="00E6451F"/>
    <w:rsid w:val="00E649A3"/>
    <w:rsid w:val="00E660A6"/>
    <w:rsid w:val="00E66828"/>
    <w:rsid w:val="00E708C3"/>
    <w:rsid w:val="00E70C8E"/>
    <w:rsid w:val="00E72714"/>
    <w:rsid w:val="00E733FD"/>
    <w:rsid w:val="00E73910"/>
    <w:rsid w:val="00E73DC1"/>
    <w:rsid w:val="00E7472A"/>
    <w:rsid w:val="00E748C4"/>
    <w:rsid w:val="00E76B33"/>
    <w:rsid w:val="00E77594"/>
    <w:rsid w:val="00E80025"/>
    <w:rsid w:val="00E8015E"/>
    <w:rsid w:val="00E80557"/>
    <w:rsid w:val="00E8072A"/>
    <w:rsid w:val="00E8084E"/>
    <w:rsid w:val="00E87DB7"/>
    <w:rsid w:val="00E9102B"/>
    <w:rsid w:val="00E91AC5"/>
    <w:rsid w:val="00E93B07"/>
    <w:rsid w:val="00E957B5"/>
    <w:rsid w:val="00E97449"/>
    <w:rsid w:val="00EA0BF9"/>
    <w:rsid w:val="00EA1059"/>
    <w:rsid w:val="00EA14C7"/>
    <w:rsid w:val="00EA3EDD"/>
    <w:rsid w:val="00EA5FE4"/>
    <w:rsid w:val="00EA72F5"/>
    <w:rsid w:val="00EA776A"/>
    <w:rsid w:val="00EB01D9"/>
    <w:rsid w:val="00EB3215"/>
    <w:rsid w:val="00EB4ABF"/>
    <w:rsid w:val="00EB5368"/>
    <w:rsid w:val="00EB5DE6"/>
    <w:rsid w:val="00EB7002"/>
    <w:rsid w:val="00EC0F2F"/>
    <w:rsid w:val="00EC2C11"/>
    <w:rsid w:val="00EC346E"/>
    <w:rsid w:val="00EC4428"/>
    <w:rsid w:val="00EC4FC9"/>
    <w:rsid w:val="00EC5C1B"/>
    <w:rsid w:val="00EC6C85"/>
    <w:rsid w:val="00EC73F1"/>
    <w:rsid w:val="00EC79BE"/>
    <w:rsid w:val="00ED0505"/>
    <w:rsid w:val="00ED1619"/>
    <w:rsid w:val="00ED2576"/>
    <w:rsid w:val="00ED475A"/>
    <w:rsid w:val="00ED4FCC"/>
    <w:rsid w:val="00ED5494"/>
    <w:rsid w:val="00ED7383"/>
    <w:rsid w:val="00ED7531"/>
    <w:rsid w:val="00EE4B93"/>
    <w:rsid w:val="00EE5F83"/>
    <w:rsid w:val="00EE6EBC"/>
    <w:rsid w:val="00EF183F"/>
    <w:rsid w:val="00EF2E9B"/>
    <w:rsid w:val="00EF5406"/>
    <w:rsid w:val="00F00210"/>
    <w:rsid w:val="00F0100F"/>
    <w:rsid w:val="00F034FA"/>
    <w:rsid w:val="00F03C8C"/>
    <w:rsid w:val="00F04769"/>
    <w:rsid w:val="00F06A5E"/>
    <w:rsid w:val="00F07338"/>
    <w:rsid w:val="00F07B37"/>
    <w:rsid w:val="00F10369"/>
    <w:rsid w:val="00F13A0E"/>
    <w:rsid w:val="00F14545"/>
    <w:rsid w:val="00F154D6"/>
    <w:rsid w:val="00F15AB7"/>
    <w:rsid w:val="00F16268"/>
    <w:rsid w:val="00F20295"/>
    <w:rsid w:val="00F215F4"/>
    <w:rsid w:val="00F21C19"/>
    <w:rsid w:val="00F21D05"/>
    <w:rsid w:val="00F22D8B"/>
    <w:rsid w:val="00F26150"/>
    <w:rsid w:val="00F30069"/>
    <w:rsid w:val="00F30478"/>
    <w:rsid w:val="00F30651"/>
    <w:rsid w:val="00F306C3"/>
    <w:rsid w:val="00F31D7C"/>
    <w:rsid w:val="00F32528"/>
    <w:rsid w:val="00F32E13"/>
    <w:rsid w:val="00F32E53"/>
    <w:rsid w:val="00F33238"/>
    <w:rsid w:val="00F37900"/>
    <w:rsid w:val="00F40014"/>
    <w:rsid w:val="00F41A3A"/>
    <w:rsid w:val="00F42431"/>
    <w:rsid w:val="00F430EE"/>
    <w:rsid w:val="00F43897"/>
    <w:rsid w:val="00F4457D"/>
    <w:rsid w:val="00F455F8"/>
    <w:rsid w:val="00F4730E"/>
    <w:rsid w:val="00F5240F"/>
    <w:rsid w:val="00F52F1E"/>
    <w:rsid w:val="00F60114"/>
    <w:rsid w:val="00F64FBE"/>
    <w:rsid w:val="00F66B09"/>
    <w:rsid w:val="00F70F1B"/>
    <w:rsid w:val="00F718E8"/>
    <w:rsid w:val="00F722AC"/>
    <w:rsid w:val="00F73917"/>
    <w:rsid w:val="00F73F01"/>
    <w:rsid w:val="00F74655"/>
    <w:rsid w:val="00F74A1C"/>
    <w:rsid w:val="00F76EF4"/>
    <w:rsid w:val="00F8519F"/>
    <w:rsid w:val="00F87D98"/>
    <w:rsid w:val="00F9074F"/>
    <w:rsid w:val="00F90E05"/>
    <w:rsid w:val="00F92F63"/>
    <w:rsid w:val="00F92FAB"/>
    <w:rsid w:val="00F93C74"/>
    <w:rsid w:val="00F94630"/>
    <w:rsid w:val="00F94F34"/>
    <w:rsid w:val="00FA26FE"/>
    <w:rsid w:val="00FA2A06"/>
    <w:rsid w:val="00FA6A4A"/>
    <w:rsid w:val="00FA6F68"/>
    <w:rsid w:val="00FA71D3"/>
    <w:rsid w:val="00FA71FD"/>
    <w:rsid w:val="00FA7725"/>
    <w:rsid w:val="00FB332B"/>
    <w:rsid w:val="00FB413A"/>
    <w:rsid w:val="00FB520A"/>
    <w:rsid w:val="00FB54DD"/>
    <w:rsid w:val="00FC0474"/>
    <w:rsid w:val="00FC0555"/>
    <w:rsid w:val="00FC0E20"/>
    <w:rsid w:val="00FC0F0D"/>
    <w:rsid w:val="00FC1426"/>
    <w:rsid w:val="00FC3010"/>
    <w:rsid w:val="00FC384F"/>
    <w:rsid w:val="00FC3C91"/>
    <w:rsid w:val="00FC6DA5"/>
    <w:rsid w:val="00FC7745"/>
    <w:rsid w:val="00FC78B8"/>
    <w:rsid w:val="00FD054D"/>
    <w:rsid w:val="00FD3EAC"/>
    <w:rsid w:val="00FD6FE4"/>
    <w:rsid w:val="00FE00E2"/>
    <w:rsid w:val="00FE24D3"/>
    <w:rsid w:val="00FE3E16"/>
    <w:rsid w:val="00FE5F6F"/>
    <w:rsid w:val="00FE6DCC"/>
    <w:rsid w:val="00FE7D87"/>
    <w:rsid w:val="00FF0562"/>
    <w:rsid w:val="00FF220F"/>
    <w:rsid w:val="00FF3937"/>
    <w:rsid w:val="00FF534C"/>
    <w:rsid w:val="00FF5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5CD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toc 1" w:uiPriority="39"/>
    <w:lsdException w:name="header" w:uiPriority="99"/>
    <w:lsdException w:name="footer"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394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31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1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08EF"/>
    <w:rPr>
      <w:rFonts w:ascii="Lucida Grande" w:hAnsi="Lucida Grande"/>
      <w:sz w:val="18"/>
      <w:szCs w:val="18"/>
    </w:rPr>
  </w:style>
  <w:style w:type="character" w:customStyle="1" w:styleId="BalloonTextChar">
    <w:name w:val="Balloon Text Char"/>
    <w:basedOn w:val="DefaultParagraphFont"/>
    <w:uiPriority w:val="99"/>
    <w:semiHidden/>
    <w:rsid w:val="00D56485"/>
    <w:rPr>
      <w:rFonts w:ascii="Lucida Grande" w:hAnsi="Lucida Grande"/>
      <w:sz w:val="18"/>
      <w:szCs w:val="18"/>
    </w:rPr>
  </w:style>
  <w:style w:type="character" w:customStyle="1" w:styleId="BalloonTextChar0">
    <w:name w:val="Balloon Text Char"/>
    <w:basedOn w:val="DefaultParagraphFont"/>
    <w:uiPriority w:val="99"/>
    <w:semiHidden/>
    <w:rsid w:val="00D56485"/>
    <w:rPr>
      <w:rFonts w:ascii="Lucida Grande" w:hAnsi="Lucida Grande"/>
      <w:sz w:val="18"/>
      <w:szCs w:val="18"/>
    </w:rPr>
  </w:style>
  <w:style w:type="character" w:customStyle="1" w:styleId="BalloonTextChar2">
    <w:name w:val="Balloon Text Char"/>
    <w:basedOn w:val="DefaultParagraphFont"/>
    <w:uiPriority w:val="99"/>
    <w:semiHidden/>
    <w:rsid w:val="00050360"/>
    <w:rPr>
      <w:rFonts w:ascii="Lucida Grande" w:hAnsi="Lucida Grande"/>
      <w:sz w:val="18"/>
      <w:szCs w:val="18"/>
    </w:rPr>
  </w:style>
  <w:style w:type="character" w:customStyle="1" w:styleId="BalloonTextChar3">
    <w:name w:val="Balloon Text Char"/>
    <w:basedOn w:val="DefaultParagraphFont"/>
    <w:uiPriority w:val="99"/>
    <w:semiHidden/>
    <w:rsid w:val="00C20B8A"/>
    <w:rPr>
      <w:rFonts w:ascii="Lucida Grande" w:hAnsi="Lucida Grande"/>
      <w:sz w:val="18"/>
      <w:szCs w:val="18"/>
    </w:rPr>
  </w:style>
  <w:style w:type="character" w:customStyle="1" w:styleId="BalloonTextChar4">
    <w:name w:val="Balloon Text Char"/>
    <w:basedOn w:val="DefaultParagraphFont"/>
    <w:uiPriority w:val="99"/>
    <w:semiHidden/>
    <w:rsid w:val="00C20B8A"/>
    <w:rPr>
      <w:rFonts w:ascii="Lucida Grande" w:hAnsi="Lucida Grande"/>
      <w:sz w:val="18"/>
      <w:szCs w:val="18"/>
    </w:rPr>
  </w:style>
  <w:style w:type="character" w:customStyle="1" w:styleId="BalloonTextChar5">
    <w:name w:val="Balloon Text Char"/>
    <w:basedOn w:val="DefaultParagraphFont"/>
    <w:uiPriority w:val="99"/>
    <w:semiHidden/>
    <w:rsid w:val="00596E36"/>
    <w:rPr>
      <w:rFonts w:ascii="Lucida Grande" w:hAnsi="Lucida Grande"/>
      <w:sz w:val="18"/>
      <w:szCs w:val="18"/>
    </w:rPr>
  </w:style>
  <w:style w:type="table" w:styleId="TableGrid">
    <w:name w:val="Table Grid"/>
    <w:basedOn w:val="TableNormal"/>
    <w:uiPriority w:val="59"/>
    <w:rsid w:val="00B50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08EF"/>
    <w:pPr>
      <w:ind w:left="720"/>
      <w:contextualSpacing/>
    </w:pPr>
  </w:style>
  <w:style w:type="character" w:styleId="Hyperlink">
    <w:name w:val="Hyperlink"/>
    <w:basedOn w:val="DefaultParagraphFont"/>
    <w:rsid w:val="00B508EF"/>
    <w:rPr>
      <w:color w:val="0000FF"/>
      <w:u w:val="single"/>
    </w:rPr>
  </w:style>
  <w:style w:type="character" w:styleId="HTMLCite">
    <w:name w:val="HTML Cite"/>
    <w:basedOn w:val="DefaultParagraphFont"/>
    <w:uiPriority w:val="99"/>
    <w:rsid w:val="00B508EF"/>
    <w:rPr>
      <w:i/>
    </w:rPr>
  </w:style>
  <w:style w:type="character" w:customStyle="1" w:styleId="BalloonTextChar1">
    <w:name w:val="Balloon Text Char1"/>
    <w:basedOn w:val="DefaultParagraphFont"/>
    <w:link w:val="BalloonText"/>
    <w:uiPriority w:val="99"/>
    <w:semiHidden/>
    <w:rsid w:val="00B508EF"/>
    <w:rPr>
      <w:rFonts w:ascii="Lucida Grande" w:hAnsi="Lucida Grande"/>
      <w:sz w:val="18"/>
      <w:szCs w:val="18"/>
    </w:rPr>
  </w:style>
  <w:style w:type="paragraph" w:styleId="Footer">
    <w:name w:val="footer"/>
    <w:basedOn w:val="Normal"/>
    <w:link w:val="FooterChar"/>
    <w:uiPriority w:val="99"/>
    <w:unhideWhenUsed/>
    <w:rsid w:val="004424D3"/>
    <w:pPr>
      <w:tabs>
        <w:tab w:val="center" w:pos="4320"/>
        <w:tab w:val="right" w:pos="8640"/>
      </w:tabs>
    </w:pPr>
  </w:style>
  <w:style w:type="character" w:customStyle="1" w:styleId="FooterChar">
    <w:name w:val="Footer Char"/>
    <w:basedOn w:val="DefaultParagraphFont"/>
    <w:link w:val="Footer"/>
    <w:uiPriority w:val="99"/>
    <w:rsid w:val="004424D3"/>
    <w:rPr>
      <w:sz w:val="24"/>
      <w:szCs w:val="24"/>
    </w:rPr>
  </w:style>
  <w:style w:type="character" w:styleId="PageNumber">
    <w:name w:val="page number"/>
    <w:basedOn w:val="DefaultParagraphFont"/>
    <w:uiPriority w:val="99"/>
    <w:semiHidden/>
    <w:unhideWhenUsed/>
    <w:rsid w:val="004424D3"/>
  </w:style>
  <w:style w:type="paragraph" w:styleId="Header">
    <w:name w:val="header"/>
    <w:basedOn w:val="Normal"/>
    <w:link w:val="HeaderChar"/>
    <w:uiPriority w:val="99"/>
    <w:semiHidden/>
    <w:unhideWhenUsed/>
    <w:rsid w:val="00394EA6"/>
    <w:pPr>
      <w:tabs>
        <w:tab w:val="center" w:pos="4320"/>
        <w:tab w:val="right" w:pos="8640"/>
      </w:tabs>
    </w:pPr>
  </w:style>
  <w:style w:type="character" w:customStyle="1" w:styleId="HeaderChar">
    <w:name w:val="Header Char"/>
    <w:basedOn w:val="DefaultParagraphFont"/>
    <w:link w:val="Header"/>
    <w:uiPriority w:val="99"/>
    <w:semiHidden/>
    <w:rsid w:val="00394EA6"/>
    <w:rPr>
      <w:sz w:val="24"/>
      <w:szCs w:val="24"/>
    </w:rPr>
  </w:style>
  <w:style w:type="character" w:customStyle="1" w:styleId="Heading1Char">
    <w:name w:val="Heading 1 Char"/>
    <w:basedOn w:val="DefaultParagraphFont"/>
    <w:link w:val="Heading1"/>
    <w:uiPriority w:val="9"/>
    <w:rsid w:val="00394EA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94EA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94EA6"/>
    <w:pPr>
      <w:spacing w:before="120"/>
    </w:pPr>
    <w:rPr>
      <w:rFonts w:asciiTheme="majorHAnsi" w:hAnsiTheme="majorHAnsi"/>
      <w:b/>
      <w:color w:val="548DD4"/>
    </w:rPr>
  </w:style>
  <w:style w:type="paragraph" w:styleId="TOC2">
    <w:name w:val="toc 2"/>
    <w:basedOn w:val="Normal"/>
    <w:next w:val="Normal"/>
    <w:autoRedefine/>
    <w:uiPriority w:val="39"/>
    <w:unhideWhenUsed/>
    <w:rsid w:val="00EB4ABF"/>
    <w:rPr>
      <w:b/>
      <w:sz w:val="22"/>
      <w:szCs w:val="22"/>
    </w:rPr>
  </w:style>
  <w:style w:type="paragraph" w:styleId="TOC3">
    <w:name w:val="toc 3"/>
    <w:basedOn w:val="Normal"/>
    <w:next w:val="Normal"/>
    <w:autoRedefine/>
    <w:uiPriority w:val="39"/>
    <w:semiHidden/>
    <w:unhideWhenUsed/>
    <w:rsid w:val="00394EA6"/>
    <w:pPr>
      <w:ind w:left="240"/>
    </w:pPr>
    <w:rPr>
      <w:i/>
      <w:sz w:val="22"/>
      <w:szCs w:val="22"/>
    </w:rPr>
  </w:style>
  <w:style w:type="paragraph" w:styleId="TOC4">
    <w:name w:val="toc 4"/>
    <w:basedOn w:val="Normal"/>
    <w:next w:val="Normal"/>
    <w:autoRedefine/>
    <w:uiPriority w:val="39"/>
    <w:semiHidden/>
    <w:unhideWhenUsed/>
    <w:rsid w:val="00394EA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94EA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94EA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94EA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94EA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94EA6"/>
    <w:pPr>
      <w:pBdr>
        <w:between w:val="double" w:sz="6" w:space="0" w:color="auto"/>
      </w:pBdr>
      <w:ind w:left="1680"/>
    </w:pPr>
    <w:rPr>
      <w:sz w:val="20"/>
      <w:szCs w:val="20"/>
    </w:rPr>
  </w:style>
  <w:style w:type="character" w:customStyle="1" w:styleId="Heading2Char">
    <w:name w:val="Heading 2 Char"/>
    <w:basedOn w:val="DefaultParagraphFont"/>
    <w:link w:val="Heading2"/>
    <w:rsid w:val="00631E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1EFD"/>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nhideWhenUsed/>
    <w:rsid w:val="00625946"/>
    <w:rPr>
      <w:rFonts w:ascii="Cambria" w:eastAsia="Cambria" w:hAnsi="Cambria" w:cs="Times New Roman"/>
    </w:rPr>
  </w:style>
  <w:style w:type="character" w:customStyle="1" w:styleId="FootnoteTextChar">
    <w:name w:val="Footnote Text Char"/>
    <w:basedOn w:val="DefaultParagraphFont"/>
    <w:link w:val="FootnoteText"/>
    <w:rsid w:val="00625946"/>
    <w:rPr>
      <w:rFonts w:ascii="Cambria" w:eastAsia="Cambria" w:hAnsi="Cambria" w:cs="Times New Roman"/>
      <w:sz w:val="24"/>
      <w:szCs w:val="24"/>
    </w:rPr>
  </w:style>
  <w:style w:type="character" w:styleId="FootnoteReference">
    <w:name w:val="footnote reference"/>
    <w:basedOn w:val="DefaultParagraphFont"/>
    <w:unhideWhenUsed/>
    <w:rsid w:val="00625946"/>
    <w:rPr>
      <w:vertAlign w:val="superscript"/>
    </w:rPr>
  </w:style>
  <w:style w:type="paragraph" w:styleId="NormalWeb">
    <w:name w:val="Normal (Web)"/>
    <w:basedOn w:val="Normal"/>
    <w:uiPriority w:val="99"/>
    <w:rsid w:val="00F92F63"/>
    <w:pPr>
      <w:spacing w:beforeLines="1" w:afterLines="1"/>
    </w:pPr>
    <w:rPr>
      <w:rFonts w:ascii="Times" w:hAnsi="Times" w:cs="Times New Roman"/>
      <w:sz w:val="20"/>
      <w:szCs w:val="20"/>
    </w:rPr>
  </w:style>
  <w:style w:type="character" w:customStyle="1" w:styleId="CharChar1">
    <w:name w:val="Char Char1"/>
    <w:basedOn w:val="DefaultParagraphFont"/>
    <w:semiHidden/>
    <w:rsid w:val="00F16268"/>
    <w:rPr>
      <w:lang w:val="en-US" w:eastAsia="en-US" w:bidi="ar-SA"/>
    </w:rPr>
  </w:style>
  <w:style w:type="paragraph" w:customStyle="1" w:styleId="heading">
    <w:name w:val="heading"/>
    <w:basedOn w:val="TOC1"/>
    <w:rsid w:val="00294CEB"/>
    <w:rPr>
      <w:rFonts w:ascii="Cambria" w:hAnsi="Cambria"/>
      <w:noProof/>
      <w:u w:val="single"/>
    </w:rPr>
  </w:style>
  <w:style w:type="character" w:styleId="CommentReference">
    <w:name w:val="annotation reference"/>
    <w:basedOn w:val="DefaultParagraphFont"/>
    <w:rsid w:val="00DF1AB7"/>
    <w:rPr>
      <w:sz w:val="16"/>
      <w:szCs w:val="16"/>
    </w:rPr>
  </w:style>
  <w:style w:type="paragraph" w:styleId="CommentText">
    <w:name w:val="annotation text"/>
    <w:basedOn w:val="Normal"/>
    <w:link w:val="CommentTextChar"/>
    <w:rsid w:val="00DF1AB7"/>
    <w:rPr>
      <w:sz w:val="20"/>
      <w:szCs w:val="20"/>
    </w:rPr>
  </w:style>
  <w:style w:type="character" w:customStyle="1" w:styleId="CommentTextChar">
    <w:name w:val="Comment Text Char"/>
    <w:basedOn w:val="DefaultParagraphFont"/>
    <w:link w:val="CommentText"/>
    <w:rsid w:val="00DF1AB7"/>
    <w:rPr>
      <w:sz w:val="20"/>
      <w:szCs w:val="20"/>
    </w:rPr>
  </w:style>
  <w:style w:type="paragraph" w:styleId="CommentSubject">
    <w:name w:val="annotation subject"/>
    <w:basedOn w:val="CommentText"/>
    <w:next w:val="CommentText"/>
    <w:link w:val="CommentSubjectChar"/>
    <w:rsid w:val="00DF1AB7"/>
    <w:rPr>
      <w:b/>
      <w:bCs/>
    </w:rPr>
  </w:style>
  <w:style w:type="character" w:customStyle="1" w:styleId="CommentSubjectChar">
    <w:name w:val="Comment Subject Char"/>
    <w:basedOn w:val="CommentTextChar"/>
    <w:link w:val="CommentSubject"/>
    <w:rsid w:val="00DF1A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toc 1" w:uiPriority="39"/>
    <w:lsdException w:name="header" w:uiPriority="99"/>
    <w:lsdException w:name="footer" w:uiPriority="99"/>
    <w:lsdException w:name="Balloon Text"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394E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31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1E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08EF"/>
    <w:rPr>
      <w:rFonts w:ascii="Lucida Grande" w:hAnsi="Lucida Grande"/>
      <w:sz w:val="18"/>
      <w:szCs w:val="18"/>
    </w:rPr>
  </w:style>
  <w:style w:type="character" w:customStyle="1" w:styleId="BalloonTextChar">
    <w:name w:val="Balloon Text Char"/>
    <w:basedOn w:val="DefaultParagraphFont"/>
    <w:uiPriority w:val="99"/>
    <w:semiHidden/>
    <w:rsid w:val="00D56485"/>
    <w:rPr>
      <w:rFonts w:ascii="Lucida Grande" w:hAnsi="Lucida Grande"/>
      <w:sz w:val="18"/>
      <w:szCs w:val="18"/>
    </w:rPr>
  </w:style>
  <w:style w:type="character" w:customStyle="1" w:styleId="BalloonTextChar0">
    <w:name w:val="Balloon Text Char"/>
    <w:basedOn w:val="DefaultParagraphFont"/>
    <w:uiPriority w:val="99"/>
    <w:semiHidden/>
    <w:rsid w:val="00D56485"/>
    <w:rPr>
      <w:rFonts w:ascii="Lucida Grande" w:hAnsi="Lucida Grande"/>
      <w:sz w:val="18"/>
      <w:szCs w:val="18"/>
    </w:rPr>
  </w:style>
  <w:style w:type="character" w:customStyle="1" w:styleId="BalloonTextChar2">
    <w:name w:val="Balloon Text Char"/>
    <w:basedOn w:val="DefaultParagraphFont"/>
    <w:uiPriority w:val="99"/>
    <w:semiHidden/>
    <w:rsid w:val="00050360"/>
    <w:rPr>
      <w:rFonts w:ascii="Lucida Grande" w:hAnsi="Lucida Grande"/>
      <w:sz w:val="18"/>
      <w:szCs w:val="18"/>
    </w:rPr>
  </w:style>
  <w:style w:type="character" w:customStyle="1" w:styleId="BalloonTextChar3">
    <w:name w:val="Balloon Text Char"/>
    <w:basedOn w:val="DefaultParagraphFont"/>
    <w:uiPriority w:val="99"/>
    <w:semiHidden/>
    <w:rsid w:val="00C20B8A"/>
    <w:rPr>
      <w:rFonts w:ascii="Lucida Grande" w:hAnsi="Lucida Grande"/>
      <w:sz w:val="18"/>
      <w:szCs w:val="18"/>
    </w:rPr>
  </w:style>
  <w:style w:type="character" w:customStyle="1" w:styleId="BalloonTextChar4">
    <w:name w:val="Balloon Text Char"/>
    <w:basedOn w:val="DefaultParagraphFont"/>
    <w:uiPriority w:val="99"/>
    <w:semiHidden/>
    <w:rsid w:val="00C20B8A"/>
    <w:rPr>
      <w:rFonts w:ascii="Lucida Grande" w:hAnsi="Lucida Grande"/>
      <w:sz w:val="18"/>
      <w:szCs w:val="18"/>
    </w:rPr>
  </w:style>
  <w:style w:type="character" w:customStyle="1" w:styleId="BalloonTextChar5">
    <w:name w:val="Balloon Text Char"/>
    <w:basedOn w:val="DefaultParagraphFont"/>
    <w:uiPriority w:val="99"/>
    <w:semiHidden/>
    <w:rsid w:val="00596E36"/>
    <w:rPr>
      <w:rFonts w:ascii="Lucida Grande" w:hAnsi="Lucida Grande"/>
      <w:sz w:val="18"/>
      <w:szCs w:val="18"/>
    </w:rPr>
  </w:style>
  <w:style w:type="table" w:styleId="TableGrid">
    <w:name w:val="Table Grid"/>
    <w:basedOn w:val="TableNormal"/>
    <w:uiPriority w:val="59"/>
    <w:rsid w:val="00B50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508EF"/>
    <w:pPr>
      <w:ind w:left="720"/>
      <w:contextualSpacing/>
    </w:pPr>
  </w:style>
  <w:style w:type="character" w:styleId="Hyperlink">
    <w:name w:val="Hyperlink"/>
    <w:basedOn w:val="DefaultParagraphFont"/>
    <w:rsid w:val="00B508EF"/>
    <w:rPr>
      <w:color w:val="0000FF"/>
      <w:u w:val="single"/>
    </w:rPr>
  </w:style>
  <w:style w:type="character" w:styleId="HTMLCite">
    <w:name w:val="HTML Cite"/>
    <w:basedOn w:val="DefaultParagraphFont"/>
    <w:uiPriority w:val="99"/>
    <w:rsid w:val="00B508EF"/>
    <w:rPr>
      <w:i/>
    </w:rPr>
  </w:style>
  <w:style w:type="character" w:customStyle="1" w:styleId="BalloonTextChar1">
    <w:name w:val="Balloon Text Char1"/>
    <w:basedOn w:val="DefaultParagraphFont"/>
    <w:link w:val="BalloonText"/>
    <w:uiPriority w:val="99"/>
    <w:semiHidden/>
    <w:rsid w:val="00B508EF"/>
    <w:rPr>
      <w:rFonts w:ascii="Lucida Grande" w:hAnsi="Lucida Grande"/>
      <w:sz w:val="18"/>
      <w:szCs w:val="18"/>
    </w:rPr>
  </w:style>
  <w:style w:type="paragraph" w:styleId="Footer">
    <w:name w:val="footer"/>
    <w:basedOn w:val="Normal"/>
    <w:link w:val="FooterChar"/>
    <w:uiPriority w:val="99"/>
    <w:unhideWhenUsed/>
    <w:rsid w:val="004424D3"/>
    <w:pPr>
      <w:tabs>
        <w:tab w:val="center" w:pos="4320"/>
        <w:tab w:val="right" w:pos="8640"/>
      </w:tabs>
    </w:pPr>
  </w:style>
  <w:style w:type="character" w:customStyle="1" w:styleId="FooterChar">
    <w:name w:val="Footer Char"/>
    <w:basedOn w:val="DefaultParagraphFont"/>
    <w:link w:val="Footer"/>
    <w:uiPriority w:val="99"/>
    <w:rsid w:val="004424D3"/>
    <w:rPr>
      <w:sz w:val="24"/>
      <w:szCs w:val="24"/>
    </w:rPr>
  </w:style>
  <w:style w:type="character" w:styleId="PageNumber">
    <w:name w:val="page number"/>
    <w:basedOn w:val="DefaultParagraphFont"/>
    <w:uiPriority w:val="99"/>
    <w:semiHidden/>
    <w:unhideWhenUsed/>
    <w:rsid w:val="004424D3"/>
  </w:style>
  <w:style w:type="paragraph" w:styleId="Header">
    <w:name w:val="header"/>
    <w:basedOn w:val="Normal"/>
    <w:link w:val="HeaderChar"/>
    <w:uiPriority w:val="99"/>
    <w:semiHidden/>
    <w:unhideWhenUsed/>
    <w:rsid w:val="00394EA6"/>
    <w:pPr>
      <w:tabs>
        <w:tab w:val="center" w:pos="4320"/>
        <w:tab w:val="right" w:pos="8640"/>
      </w:tabs>
    </w:pPr>
  </w:style>
  <w:style w:type="character" w:customStyle="1" w:styleId="HeaderChar">
    <w:name w:val="Header Char"/>
    <w:basedOn w:val="DefaultParagraphFont"/>
    <w:link w:val="Header"/>
    <w:uiPriority w:val="99"/>
    <w:semiHidden/>
    <w:rsid w:val="00394EA6"/>
    <w:rPr>
      <w:sz w:val="24"/>
      <w:szCs w:val="24"/>
    </w:rPr>
  </w:style>
  <w:style w:type="character" w:customStyle="1" w:styleId="Heading1Char">
    <w:name w:val="Heading 1 Char"/>
    <w:basedOn w:val="DefaultParagraphFont"/>
    <w:link w:val="Heading1"/>
    <w:uiPriority w:val="9"/>
    <w:rsid w:val="00394EA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94EA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94EA6"/>
    <w:pPr>
      <w:spacing w:before="120"/>
    </w:pPr>
    <w:rPr>
      <w:rFonts w:asciiTheme="majorHAnsi" w:hAnsiTheme="majorHAnsi"/>
      <w:b/>
      <w:color w:val="548DD4"/>
    </w:rPr>
  </w:style>
  <w:style w:type="paragraph" w:styleId="TOC2">
    <w:name w:val="toc 2"/>
    <w:basedOn w:val="Normal"/>
    <w:next w:val="Normal"/>
    <w:autoRedefine/>
    <w:uiPriority w:val="39"/>
    <w:unhideWhenUsed/>
    <w:rsid w:val="00EB4ABF"/>
    <w:rPr>
      <w:b/>
      <w:sz w:val="22"/>
      <w:szCs w:val="22"/>
    </w:rPr>
  </w:style>
  <w:style w:type="paragraph" w:styleId="TOC3">
    <w:name w:val="toc 3"/>
    <w:basedOn w:val="Normal"/>
    <w:next w:val="Normal"/>
    <w:autoRedefine/>
    <w:uiPriority w:val="39"/>
    <w:semiHidden/>
    <w:unhideWhenUsed/>
    <w:rsid w:val="00394EA6"/>
    <w:pPr>
      <w:ind w:left="240"/>
    </w:pPr>
    <w:rPr>
      <w:i/>
      <w:sz w:val="22"/>
      <w:szCs w:val="22"/>
    </w:rPr>
  </w:style>
  <w:style w:type="paragraph" w:styleId="TOC4">
    <w:name w:val="toc 4"/>
    <w:basedOn w:val="Normal"/>
    <w:next w:val="Normal"/>
    <w:autoRedefine/>
    <w:uiPriority w:val="39"/>
    <w:semiHidden/>
    <w:unhideWhenUsed/>
    <w:rsid w:val="00394EA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94EA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94EA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94EA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94EA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94EA6"/>
    <w:pPr>
      <w:pBdr>
        <w:between w:val="double" w:sz="6" w:space="0" w:color="auto"/>
      </w:pBdr>
      <w:ind w:left="1680"/>
    </w:pPr>
    <w:rPr>
      <w:sz w:val="20"/>
      <w:szCs w:val="20"/>
    </w:rPr>
  </w:style>
  <w:style w:type="character" w:customStyle="1" w:styleId="Heading2Char">
    <w:name w:val="Heading 2 Char"/>
    <w:basedOn w:val="DefaultParagraphFont"/>
    <w:link w:val="Heading2"/>
    <w:rsid w:val="00631E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1EFD"/>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nhideWhenUsed/>
    <w:rsid w:val="00625946"/>
    <w:rPr>
      <w:rFonts w:ascii="Cambria" w:eastAsia="Cambria" w:hAnsi="Cambria" w:cs="Times New Roman"/>
    </w:rPr>
  </w:style>
  <w:style w:type="character" w:customStyle="1" w:styleId="FootnoteTextChar">
    <w:name w:val="Footnote Text Char"/>
    <w:basedOn w:val="DefaultParagraphFont"/>
    <w:link w:val="FootnoteText"/>
    <w:rsid w:val="00625946"/>
    <w:rPr>
      <w:rFonts w:ascii="Cambria" w:eastAsia="Cambria" w:hAnsi="Cambria" w:cs="Times New Roman"/>
      <w:sz w:val="24"/>
      <w:szCs w:val="24"/>
    </w:rPr>
  </w:style>
  <w:style w:type="character" w:styleId="FootnoteReference">
    <w:name w:val="footnote reference"/>
    <w:basedOn w:val="DefaultParagraphFont"/>
    <w:unhideWhenUsed/>
    <w:rsid w:val="00625946"/>
    <w:rPr>
      <w:vertAlign w:val="superscript"/>
    </w:rPr>
  </w:style>
  <w:style w:type="paragraph" w:styleId="NormalWeb">
    <w:name w:val="Normal (Web)"/>
    <w:basedOn w:val="Normal"/>
    <w:uiPriority w:val="99"/>
    <w:rsid w:val="00F92F63"/>
    <w:pPr>
      <w:spacing w:beforeLines="1" w:afterLines="1"/>
    </w:pPr>
    <w:rPr>
      <w:rFonts w:ascii="Times" w:hAnsi="Times" w:cs="Times New Roman"/>
      <w:sz w:val="20"/>
      <w:szCs w:val="20"/>
    </w:rPr>
  </w:style>
  <w:style w:type="character" w:customStyle="1" w:styleId="CharChar1">
    <w:name w:val="Char Char1"/>
    <w:basedOn w:val="DefaultParagraphFont"/>
    <w:semiHidden/>
    <w:rsid w:val="00F16268"/>
    <w:rPr>
      <w:lang w:val="en-US" w:eastAsia="en-US" w:bidi="ar-SA"/>
    </w:rPr>
  </w:style>
  <w:style w:type="paragraph" w:customStyle="1" w:styleId="heading">
    <w:name w:val="heading"/>
    <w:basedOn w:val="TOC1"/>
    <w:rsid w:val="00294CEB"/>
    <w:rPr>
      <w:rFonts w:ascii="Cambria" w:hAnsi="Cambria"/>
      <w:noProof/>
      <w:u w:val="single"/>
    </w:rPr>
  </w:style>
  <w:style w:type="character" w:styleId="CommentReference">
    <w:name w:val="annotation reference"/>
    <w:basedOn w:val="DefaultParagraphFont"/>
    <w:rsid w:val="00DF1AB7"/>
    <w:rPr>
      <w:sz w:val="16"/>
      <w:szCs w:val="16"/>
    </w:rPr>
  </w:style>
  <w:style w:type="paragraph" w:styleId="CommentText">
    <w:name w:val="annotation text"/>
    <w:basedOn w:val="Normal"/>
    <w:link w:val="CommentTextChar"/>
    <w:rsid w:val="00DF1AB7"/>
    <w:rPr>
      <w:sz w:val="20"/>
      <w:szCs w:val="20"/>
    </w:rPr>
  </w:style>
  <w:style w:type="character" w:customStyle="1" w:styleId="CommentTextChar">
    <w:name w:val="Comment Text Char"/>
    <w:basedOn w:val="DefaultParagraphFont"/>
    <w:link w:val="CommentText"/>
    <w:rsid w:val="00DF1AB7"/>
    <w:rPr>
      <w:sz w:val="20"/>
      <w:szCs w:val="20"/>
    </w:rPr>
  </w:style>
  <w:style w:type="paragraph" w:styleId="CommentSubject">
    <w:name w:val="annotation subject"/>
    <w:basedOn w:val="CommentText"/>
    <w:next w:val="CommentText"/>
    <w:link w:val="CommentSubjectChar"/>
    <w:rsid w:val="00DF1AB7"/>
    <w:rPr>
      <w:b/>
      <w:bCs/>
    </w:rPr>
  </w:style>
  <w:style w:type="character" w:customStyle="1" w:styleId="CommentSubjectChar">
    <w:name w:val="Comment Subject Char"/>
    <w:basedOn w:val="CommentTextChar"/>
    <w:link w:val="CommentSubject"/>
    <w:rsid w:val="00DF1A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60">
      <w:bodyDiv w:val="1"/>
      <w:marLeft w:val="0"/>
      <w:marRight w:val="0"/>
      <w:marTop w:val="0"/>
      <w:marBottom w:val="0"/>
      <w:divBdr>
        <w:top w:val="none" w:sz="0" w:space="0" w:color="auto"/>
        <w:left w:val="none" w:sz="0" w:space="0" w:color="auto"/>
        <w:bottom w:val="none" w:sz="0" w:space="0" w:color="auto"/>
        <w:right w:val="none" w:sz="0" w:space="0" w:color="auto"/>
      </w:divBdr>
    </w:div>
    <w:div w:id="188490393">
      <w:bodyDiv w:val="1"/>
      <w:marLeft w:val="0"/>
      <w:marRight w:val="0"/>
      <w:marTop w:val="0"/>
      <w:marBottom w:val="0"/>
      <w:divBdr>
        <w:top w:val="none" w:sz="0" w:space="0" w:color="auto"/>
        <w:left w:val="none" w:sz="0" w:space="0" w:color="auto"/>
        <w:bottom w:val="none" w:sz="0" w:space="0" w:color="auto"/>
        <w:right w:val="none" w:sz="0" w:space="0" w:color="auto"/>
      </w:divBdr>
    </w:div>
    <w:div w:id="434134985">
      <w:bodyDiv w:val="1"/>
      <w:marLeft w:val="0"/>
      <w:marRight w:val="0"/>
      <w:marTop w:val="0"/>
      <w:marBottom w:val="0"/>
      <w:divBdr>
        <w:top w:val="none" w:sz="0" w:space="0" w:color="auto"/>
        <w:left w:val="none" w:sz="0" w:space="0" w:color="auto"/>
        <w:bottom w:val="none" w:sz="0" w:space="0" w:color="auto"/>
        <w:right w:val="none" w:sz="0" w:space="0" w:color="auto"/>
      </w:divBdr>
      <w:divsChild>
        <w:div w:id="825125141">
          <w:marLeft w:val="1152"/>
          <w:marRight w:val="0"/>
          <w:marTop w:val="0"/>
          <w:marBottom w:val="0"/>
          <w:divBdr>
            <w:top w:val="none" w:sz="0" w:space="0" w:color="auto"/>
            <w:left w:val="none" w:sz="0" w:space="0" w:color="auto"/>
            <w:bottom w:val="none" w:sz="0" w:space="0" w:color="auto"/>
            <w:right w:val="none" w:sz="0" w:space="0" w:color="auto"/>
          </w:divBdr>
        </w:div>
        <w:div w:id="2139299170">
          <w:marLeft w:val="1786"/>
          <w:marRight w:val="0"/>
          <w:marTop w:val="0"/>
          <w:marBottom w:val="0"/>
          <w:divBdr>
            <w:top w:val="none" w:sz="0" w:space="0" w:color="auto"/>
            <w:left w:val="none" w:sz="0" w:space="0" w:color="auto"/>
            <w:bottom w:val="none" w:sz="0" w:space="0" w:color="auto"/>
            <w:right w:val="none" w:sz="0" w:space="0" w:color="auto"/>
          </w:divBdr>
        </w:div>
        <w:div w:id="1131896731">
          <w:marLeft w:val="1786"/>
          <w:marRight w:val="0"/>
          <w:marTop w:val="0"/>
          <w:marBottom w:val="0"/>
          <w:divBdr>
            <w:top w:val="none" w:sz="0" w:space="0" w:color="auto"/>
            <w:left w:val="none" w:sz="0" w:space="0" w:color="auto"/>
            <w:bottom w:val="none" w:sz="0" w:space="0" w:color="auto"/>
            <w:right w:val="none" w:sz="0" w:space="0" w:color="auto"/>
          </w:divBdr>
        </w:div>
        <w:div w:id="1831865579">
          <w:marLeft w:val="1152"/>
          <w:marRight w:val="0"/>
          <w:marTop w:val="0"/>
          <w:marBottom w:val="0"/>
          <w:divBdr>
            <w:top w:val="none" w:sz="0" w:space="0" w:color="auto"/>
            <w:left w:val="none" w:sz="0" w:space="0" w:color="auto"/>
            <w:bottom w:val="none" w:sz="0" w:space="0" w:color="auto"/>
            <w:right w:val="none" w:sz="0" w:space="0" w:color="auto"/>
          </w:divBdr>
        </w:div>
        <w:div w:id="831455773">
          <w:marLeft w:val="1786"/>
          <w:marRight w:val="0"/>
          <w:marTop w:val="0"/>
          <w:marBottom w:val="0"/>
          <w:divBdr>
            <w:top w:val="none" w:sz="0" w:space="0" w:color="auto"/>
            <w:left w:val="none" w:sz="0" w:space="0" w:color="auto"/>
            <w:bottom w:val="none" w:sz="0" w:space="0" w:color="auto"/>
            <w:right w:val="none" w:sz="0" w:space="0" w:color="auto"/>
          </w:divBdr>
        </w:div>
        <w:div w:id="542064290">
          <w:marLeft w:val="1786"/>
          <w:marRight w:val="0"/>
          <w:marTop w:val="0"/>
          <w:marBottom w:val="0"/>
          <w:divBdr>
            <w:top w:val="none" w:sz="0" w:space="0" w:color="auto"/>
            <w:left w:val="none" w:sz="0" w:space="0" w:color="auto"/>
            <w:bottom w:val="none" w:sz="0" w:space="0" w:color="auto"/>
            <w:right w:val="none" w:sz="0" w:space="0" w:color="auto"/>
          </w:divBdr>
        </w:div>
        <w:div w:id="1744181426">
          <w:marLeft w:val="1152"/>
          <w:marRight w:val="0"/>
          <w:marTop w:val="0"/>
          <w:marBottom w:val="0"/>
          <w:divBdr>
            <w:top w:val="none" w:sz="0" w:space="0" w:color="auto"/>
            <w:left w:val="none" w:sz="0" w:space="0" w:color="auto"/>
            <w:bottom w:val="none" w:sz="0" w:space="0" w:color="auto"/>
            <w:right w:val="none" w:sz="0" w:space="0" w:color="auto"/>
          </w:divBdr>
        </w:div>
        <w:div w:id="1789347982">
          <w:marLeft w:val="1786"/>
          <w:marRight w:val="0"/>
          <w:marTop w:val="0"/>
          <w:marBottom w:val="0"/>
          <w:divBdr>
            <w:top w:val="none" w:sz="0" w:space="0" w:color="auto"/>
            <w:left w:val="none" w:sz="0" w:space="0" w:color="auto"/>
            <w:bottom w:val="none" w:sz="0" w:space="0" w:color="auto"/>
            <w:right w:val="none" w:sz="0" w:space="0" w:color="auto"/>
          </w:divBdr>
        </w:div>
      </w:divsChild>
    </w:div>
    <w:div w:id="489834384">
      <w:bodyDiv w:val="1"/>
      <w:marLeft w:val="0"/>
      <w:marRight w:val="0"/>
      <w:marTop w:val="0"/>
      <w:marBottom w:val="0"/>
      <w:divBdr>
        <w:top w:val="none" w:sz="0" w:space="0" w:color="auto"/>
        <w:left w:val="none" w:sz="0" w:space="0" w:color="auto"/>
        <w:bottom w:val="none" w:sz="0" w:space="0" w:color="auto"/>
        <w:right w:val="none" w:sz="0" w:space="0" w:color="auto"/>
      </w:divBdr>
      <w:divsChild>
        <w:div w:id="126625353">
          <w:marLeft w:val="547"/>
          <w:marRight w:val="0"/>
          <w:marTop w:val="0"/>
          <w:marBottom w:val="0"/>
          <w:divBdr>
            <w:top w:val="none" w:sz="0" w:space="0" w:color="auto"/>
            <w:left w:val="none" w:sz="0" w:space="0" w:color="auto"/>
            <w:bottom w:val="none" w:sz="0" w:space="0" w:color="auto"/>
            <w:right w:val="none" w:sz="0" w:space="0" w:color="auto"/>
          </w:divBdr>
        </w:div>
        <w:div w:id="1265070337">
          <w:marLeft w:val="547"/>
          <w:marRight w:val="0"/>
          <w:marTop w:val="0"/>
          <w:marBottom w:val="0"/>
          <w:divBdr>
            <w:top w:val="none" w:sz="0" w:space="0" w:color="auto"/>
            <w:left w:val="none" w:sz="0" w:space="0" w:color="auto"/>
            <w:bottom w:val="none" w:sz="0" w:space="0" w:color="auto"/>
            <w:right w:val="none" w:sz="0" w:space="0" w:color="auto"/>
          </w:divBdr>
        </w:div>
        <w:div w:id="1569152456">
          <w:marLeft w:val="547"/>
          <w:marRight w:val="0"/>
          <w:marTop w:val="0"/>
          <w:marBottom w:val="0"/>
          <w:divBdr>
            <w:top w:val="none" w:sz="0" w:space="0" w:color="auto"/>
            <w:left w:val="none" w:sz="0" w:space="0" w:color="auto"/>
            <w:bottom w:val="none" w:sz="0" w:space="0" w:color="auto"/>
            <w:right w:val="none" w:sz="0" w:space="0" w:color="auto"/>
          </w:divBdr>
        </w:div>
        <w:div w:id="1582517922">
          <w:marLeft w:val="547"/>
          <w:marRight w:val="0"/>
          <w:marTop w:val="0"/>
          <w:marBottom w:val="0"/>
          <w:divBdr>
            <w:top w:val="none" w:sz="0" w:space="0" w:color="auto"/>
            <w:left w:val="none" w:sz="0" w:space="0" w:color="auto"/>
            <w:bottom w:val="none" w:sz="0" w:space="0" w:color="auto"/>
            <w:right w:val="none" w:sz="0" w:space="0" w:color="auto"/>
          </w:divBdr>
        </w:div>
        <w:div w:id="1164202714">
          <w:marLeft w:val="547"/>
          <w:marRight w:val="0"/>
          <w:marTop w:val="0"/>
          <w:marBottom w:val="0"/>
          <w:divBdr>
            <w:top w:val="none" w:sz="0" w:space="0" w:color="auto"/>
            <w:left w:val="none" w:sz="0" w:space="0" w:color="auto"/>
            <w:bottom w:val="none" w:sz="0" w:space="0" w:color="auto"/>
            <w:right w:val="none" w:sz="0" w:space="0" w:color="auto"/>
          </w:divBdr>
        </w:div>
        <w:div w:id="410976599">
          <w:marLeft w:val="547"/>
          <w:marRight w:val="0"/>
          <w:marTop w:val="0"/>
          <w:marBottom w:val="0"/>
          <w:divBdr>
            <w:top w:val="none" w:sz="0" w:space="0" w:color="auto"/>
            <w:left w:val="none" w:sz="0" w:space="0" w:color="auto"/>
            <w:bottom w:val="none" w:sz="0" w:space="0" w:color="auto"/>
            <w:right w:val="none" w:sz="0" w:space="0" w:color="auto"/>
          </w:divBdr>
        </w:div>
        <w:div w:id="1994527400">
          <w:marLeft w:val="547"/>
          <w:marRight w:val="0"/>
          <w:marTop w:val="0"/>
          <w:marBottom w:val="0"/>
          <w:divBdr>
            <w:top w:val="none" w:sz="0" w:space="0" w:color="auto"/>
            <w:left w:val="none" w:sz="0" w:space="0" w:color="auto"/>
            <w:bottom w:val="none" w:sz="0" w:space="0" w:color="auto"/>
            <w:right w:val="none" w:sz="0" w:space="0" w:color="auto"/>
          </w:divBdr>
        </w:div>
        <w:div w:id="1445154061">
          <w:marLeft w:val="547"/>
          <w:marRight w:val="0"/>
          <w:marTop w:val="0"/>
          <w:marBottom w:val="0"/>
          <w:divBdr>
            <w:top w:val="none" w:sz="0" w:space="0" w:color="auto"/>
            <w:left w:val="none" w:sz="0" w:space="0" w:color="auto"/>
            <w:bottom w:val="none" w:sz="0" w:space="0" w:color="auto"/>
            <w:right w:val="none" w:sz="0" w:space="0" w:color="auto"/>
          </w:divBdr>
        </w:div>
        <w:div w:id="37973581">
          <w:marLeft w:val="547"/>
          <w:marRight w:val="0"/>
          <w:marTop w:val="0"/>
          <w:marBottom w:val="0"/>
          <w:divBdr>
            <w:top w:val="none" w:sz="0" w:space="0" w:color="auto"/>
            <w:left w:val="none" w:sz="0" w:space="0" w:color="auto"/>
            <w:bottom w:val="none" w:sz="0" w:space="0" w:color="auto"/>
            <w:right w:val="none" w:sz="0" w:space="0" w:color="auto"/>
          </w:divBdr>
        </w:div>
        <w:div w:id="753598623">
          <w:marLeft w:val="547"/>
          <w:marRight w:val="0"/>
          <w:marTop w:val="0"/>
          <w:marBottom w:val="0"/>
          <w:divBdr>
            <w:top w:val="none" w:sz="0" w:space="0" w:color="auto"/>
            <w:left w:val="none" w:sz="0" w:space="0" w:color="auto"/>
            <w:bottom w:val="none" w:sz="0" w:space="0" w:color="auto"/>
            <w:right w:val="none" w:sz="0" w:space="0" w:color="auto"/>
          </w:divBdr>
        </w:div>
        <w:div w:id="1479222755">
          <w:marLeft w:val="547"/>
          <w:marRight w:val="0"/>
          <w:marTop w:val="0"/>
          <w:marBottom w:val="0"/>
          <w:divBdr>
            <w:top w:val="none" w:sz="0" w:space="0" w:color="auto"/>
            <w:left w:val="none" w:sz="0" w:space="0" w:color="auto"/>
            <w:bottom w:val="none" w:sz="0" w:space="0" w:color="auto"/>
            <w:right w:val="none" w:sz="0" w:space="0" w:color="auto"/>
          </w:divBdr>
        </w:div>
        <w:div w:id="1998726283">
          <w:marLeft w:val="547"/>
          <w:marRight w:val="0"/>
          <w:marTop w:val="0"/>
          <w:marBottom w:val="0"/>
          <w:divBdr>
            <w:top w:val="none" w:sz="0" w:space="0" w:color="auto"/>
            <w:left w:val="none" w:sz="0" w:space="0" w:color="auto"/>
            <w:bottom w:val="none" w:sz="0" w:space="0" w:color="auto"/>
            <w:right w:val="none" w:sz="0" w:space="0" w:color="auto"/>
          </w:divBdr>
        </w:div>
        <w:div w:id="23867993">
          <w:marLeft w:val="547"/>
          <w:marRight w:val="0"/>
          <w:marTop w:val="0"/>
          <w:marBottom w:val="0"/>
          <w:divBdr>
            <w:top w:val="none" w:sz="0" w:space="0" w:color="auto"/>
            <w:left w:val="none" w:sz="0" w:space="0" w:color="auto"/>
            <w:bottom w:val="none" w:sz="0" w:space="0" w:color="auto"/>
            <w:right w:val="none" w:sz="0" w:space="0" w:color="auto"/>
          </w:divBdr>
        </w:div>
        <w:div w:id="495808587">
          <w:marLeft w:val="547"/>
          <w:marRight w:val="0"/>
          <w:marTop w:val="0"/>
          <w:marBottom w:val="0"/>
          <w:divBdr>
            <w:top w:val="none" w:sz="0" w:space="0" w:color="auto"/>
            <w:left w:val="none" w:sz="0" w:space="0" w:color="auto"/>
            <w:bottom w:val="none" w:sz="0" w:space="0" w:color="auto"/>
            <w:right w:val="none" w:sz="0" w:space="0" w:color="auto"/>
          </w:divBdr>
        </w:div>
      </w:divsChild>
    </w:div>
    <w:div w:id="571280573">
      <w:bodyDiv w:val="1"/>
      <w:marLeft w:val="0"/>
      <w:marRight w:val="0"/>
      <w:marTop w:val="0"/>
      <w:marBottom w:val="0"/>
      <w:divBdr>
        <w:top w:val="none" w:sz="0" w:space="0" w:color="auto"/>
        <w:left w:val="none" w:sz="0" w:space="0" w:color="auto"/>
        <w:bottom w:val="none" w:sz="0" w:space="0" w:color="auto"/>
        <w:right w:val="none" w:sz="0" w:space="0" w:color="auto"/>
      </w:divBdr>
      <w:divsChild>
        <w:div w:id="1717778164">
          <w:marLeft w:val="605"/>
          <w:marRight w:val="0"/>
          <w:marTop w:val="0"/>
          <w:marBottom w:val="0"/>
          <w:divBdr>
            <w:top w:val="none" w:sz="0" w:space="0" w:color="auto"/>
            <w:left w:val="none" w:sz="0" w:space="0" w:color="auto"/>
            <w:bottom w:val="none" w:sz="0" w:space="0" w:color="auto"/>
            <w:right w:val="none" w:sz="0" w:space="0" w:color="auto"/>
          </w:divBdr>
        </w:div>
        <w:div w:id="1482650619">
          <w:marLeft w:val="605"/>
          <w:marRight w:val="0"/>
          <w:marTop w:val="0"/>
          <w:marBottom w:val="0"/>
          <w:divBdr>
            <w:top w:val="none" w:sz="0" w:space="0" w:color="auto"/>
            <w:left w:val="none" w:sz="0" w:space="0" w:color="auto"/>
            <w:bottom w:val="none" w:sz="0" w:space="0" w:color="auto"/>
            <w:right w:val="none" w:sz="0" w:space="0" w:color="auto"/>
          </w:divBdr>
        </w:div>
        <w:div w:id="346903382">
          <w:marLeft w:val="605"/>
          <w:marRight w:val="0"/>
          <w:marTop w:val="0"/>
          <w:marBottom w:val="0"/>
          <w:divBdr>
            <w:top w:val="none" w:sz="0" w:space="0" w:color="auto"/>
            <w:left w:val="none" w:sz="0" w:space="0" w:color="auto"/>
            <w:bottom w:val="none" w:sz="0" w:space="0" w:color="auto"/>
            <w:right w:val="none" w:sz="0" w:space="0" w:color="auto"/>
          </w:divBdr>
        </w:div>
      </w:divsChild>
    </w:div>
    <w:div w:id="652949954">
      <w:bodyDiv w:val="1"/>
      <w:marLeft w:val="0"/>
      <w:marRight w:val="0"/>
      <w:marTop w:val="0"/>
      <w:marBottom w:val="0"/>
      <w:divBdr>
        <w:top w:val="none" w:sz="0" w:space="0" w:color="auto"/>
        <w:left w:val="none" w:sz="0" w:space="0" w:color="auto"/>
        <w:bottom w:val="none" w:sz="0" w:space="0" w:color="auto"/>
        <w:right w:val="none" w:sz="0" w:space="0" w:color="auto"/>
      </w:divBdr>
      <w:divsChild>
        <w:div w:id="1087268195">
          <w:marLeft w:val="1238"/>
          <w:marRight w:val="0"/>
          <w:marTop w:val="140"/>
          <w:marBottom w:val="0"/>
          <w:divBdr>
            <w:top w:val="none" w:sz="0" w:space="0" w:color="auto"/>
            <w:left w:val="none" w:sz="0" w:space="0" w:color="auto"/>
            <w:bottom w:val="none" w:sz="0" w:space="0" w:color="auto"/>
            <w:right w:val="none" w:sz="0" w:space="0" w:color="auto"/>
          </w:divBdr>
        </w:div>
        <w:div w:id="30427705">
          <w:marLeft w:val="1238"/>
          <w:marRight w:val="0"/>
          <w:marTop w:val="100"/>
          <w:marBottom w:val="0"/>
          <w:divBdr>
            <w:top w:val="none" w:sz="0" w:space="0" w:color="auto"/>
            <w:left w:val="none" w:sz="0" w:space="0" w:color="auto"/>
            <w:bottom w:val="none" w:sz="0" w:space="0" w:color="auto"/>
            <w:right w:val="none" w:sz="0" w:space="0" w:color="auto"/>
          </w:divBdr>
        </w:div>
        <w:div w:id="299114669">
          <w:marLeft w:val="1238"/>
          <w:marRight w:val="0"/>
          <w:marTop w:val="140"/>
          <w:marBottom w:val="0"/>
          <w:divBdr>
            <w:top w:val="none" w:sz="0" w:space="0" w:color="auto"/>
            <w:left w:val="none" w:sz="0" w:space="0" w:color="auto"/>
            <w:bottom w:val="none" w:sz="0" w:space="0" w:color="auto"/>
            <w:right w:val="none" w:sz="0" w:space="0" w:color="auto"/>
          </w:divBdr>
        </w:div>
      </w:divsChild>
    </w:div>
    <w:div w:id="749037493">
      <w:bodyDiv w:val="1"/>
      <w:marLeft w:val="0"/>
      <w:marRight w:val="0"/>
      <w:marTop w:val="0"/>
      <w:marBottom w:val="0"/>
      <w:divBdr>
        <w:top w:val="none" w:sz="0" w:space="0" w:color="auto"/>
        <w:left w:val="none" w:sz="0" w:space="0" w:color="auto"/>
        <w:bottom w:val="none" w:sz="0" w:space="0" w:color="auto"/>
        <w:right w:val="none" w:sz="0" w:space="0" w:color="auto"/>
      </w:divBdr>
    </w:div>
    <w:div w:id="833227965">
      <w:bodyDiv w:val="1"/>
      <w:marLeft w:val="0"/>
      <w:marRight w:val="0"/>
      <w:marTop w:val="0"/>
      <w:marBottom w:val="0"/>
      <w:divBdr>
        <w:top w:val="none" w:sz="0" w:space="0" w:color="auto"/>
        <w:left w:val="none" w:sz="0" w:space="0" w:color="auto"/>
        <w:bottom w:val="none" w:sz="0" w:space="0" w:color="auto"/>
        <w:right w:val="none" w:sz="0" w:space="0" w:color="auto"/>
      </w:divBdr>
    </w:div>
    <w:div w:id="902641558">
      <w:bodyDiv w:val="1"/>
      <w:marLeft w:val="0"/>
      <w:marRight w:val="0"/>
      <w:marTop w:val="0"/>
      <w:marBottom w:val="0"/>
      <w:divBdr>
        <w:top w:val="none" w:sz="0" w:space="0" w:color="auto"/>
        <w:left w:val="none" w:sz="0" w:space="0" w:color="auto"/>
        <w:bottom w:val="none" w:sz="0" w:space="0" w:color="auto"/>
        <w:right w:val="none" w:sz="0" w:space="0" w:color="auto"/>
      </w:divBdr>
    </w:div>
    <w:div w:id="1117794595">
      <w:bodyDiv w:val="1"/>
      <w:marLeft w:val="0"/>
      <w:marRight w:val="0"/>
      <w:marTop w:val="0"/>
      <w:marBottom w:val="0"/>
      <w:divBdr>
        <w:top w:val="none" w:sz="0" w:space="0" w:color="auto"/>
        <w:left w:val="none" w:sz="0" w:space="0" w:color="auto"/>
        <w:bottom w:val="none" w:sz="0" w:space="0" w:color="auto"/>
        <w:right w:val="none" w:sz="0" w:space="0" w:color="auto"/>
      </w:divBdr>
    </w:div>
    <w:div w:id="1500074764">
      <w:bodyDiv w:val="1"/>
      <w:marLeft w:val="0"/>
      <w:marRight w:val="0"/>
      <w:marTop w:val="0"/>
      <w:marBottom w:val="0"/>
      <w:divBdr>
        <w:top w:val="none" w:sz="0" w:space="0" w:color="auto"/>
        <w:left w:val="none" w:sz="0" w:space="0" w:color="auto"/>
        <w:bottom w:val="none" w:sz="0" w:space="0" w:color="auto"/>
        <w:right w:val="none" w:sz="0" w:space="0" w:color="auto"/>
      </w:divBdr>
      <w:divsChild>
        <w:div w:id="1799494231">
          <w:marLeft w:val="461"/>
          <w:marRight w:val="0"/>
          <w:marTop w:val="0"/>
          <w:marBottom w:val="0"/>
          <w:divBdr>
            <w:top w:val="none" w:sz="0" w:space="0" w:color="auto"/>
            <w:left w:val="none" w:sz="0" w:space="0" w:color="auto"/>
            <w:bottom w:val="none" w:sz="0" w:space="0" w:color="auto"/>
            <w:right w:val="none" w:sz="0" w:space="0" w:color="auto"/>
          </w:divBdr>
        </w:div>
        <w:div w:id="138235472">
          <w:marLeft w:val="461"/>
          <w:marRight w:val="0"/>
          <w:marTop w:val="0"/>
          <w:marBottom w:val="0"/>
          <w:divBdr>
            <w:top w:val="none" w:sz="0" w:space="0" w:color="auto"/>
            <w:left w:val="none" w:sz="0" w:space="0" w:color="auto"/>
            <w:bottom w:val="none" w:sz="0" w:space="0" w:color="auto"/>
            <w:right w:val="none" w:sz="0" w:space="0" w:color="auto"/>
          </w:divBdr>
        </w:div>
        <w:div w:id="23211445">
          <w:marLeft w:val="461"/>
          <w:marRight w:val="0"/>
          <w:marTop w:val="0"/>
          <w:marBottom w:val="0"/>
          <w:divBdr>
            <w:top w:val="none" w:sz="0" w:space="0" w:color="auto"/>
            <w:left w:val="none" w:sz="0" w:space="0" w:color="auto"/>
            <w:bottom w:val="none" w:sz="0" w:space="0" w:color="auto"/>
            <w:right w:val="none" w:sz="0" w:space="0" w:color="auto"/>
          </w:divBdr>
        </w:div>
        <w:div w:id="174996863">
          <w:marLeft w:val="461"/>
          <w:marRight w:val="0"/>
          <w:marTop w:val="0"/>
          <w:marBottom w:val="0"/>
          <w:divBdr>
            <w:top w:val="none" w:sz="0" w:space="0" w:color="auto"/>
            <w:left w:val="none" w:sz="0" w:space="0" w:color="auto"/>
            <w:bottom w:val="none" w:sz="0" w:space="0" w:color="auto"/>
            <w:right w:val="none" w:sz="0" w:space="0" w:color="auto"/>
          </w:divBdr>
        </w:div>
      </w:divsChild>
    </w:div>
    <w:div w:id="1648703715">
      <w:bodyDiv w:val="1"/>
      <w:marLeft w:val="0"/>
      <w:marRight w:val="0"/>
      <w:marTop w:val="0"/>
      <w:marBottom w:val="0"/>
      <w:divBdr>
        <w:top w:val="none" w:sz="0" w:space="0" w:color="auto"/>
        <w:left w:val="none" w:sz="0" w:space="0" w:color="auto"/>
        <w:bottom w:val="none" w:sz="0" w:space="0" w:color="auto"/>
        <w:right w:val="none" w:sz="0" w:space="0" w:color="auto"/>
      </w:divBdr>
      <w:divsChild>
        <w:div w:id="683288962">
          <w:marLeft w:val="605"/>
          <w:marRight w:val="0"/>
          <w:marTop w:val="140"/>
          <w:marBottom w:val="0"/>
          <w:divBdr>
            <w:top w:val="none" w:sz="0" w:space="0" w:color="auto"/>
            <w:left w:val="none" w:sz="0" w:space="0" w:color="auto"/>
            <w:bottom w:val="none" w:sz="0" w:space="0" w:color="auto"/>
            <w:right w:val="none" w:sz="0" w:space="0" w:color="auto"/>
          </w:divBdr>
        </w:div>
        <w:div w:id="1519851740">
          <w:marLeft w:val="1238"/>
          <w:marRight w:val="0"/>
          <w:marTop w:val="140"/>
          <w:marBottom w:val="0"/>
          <w:divBdr>
            <w:top w:val="none" w:sz="0" w:space="0" w:color="auto"/>
            <w:left w:val="none" w:sz="0" w:space="0" w:color="auto"/>
            <w:bottom w:val="none" w:sz="0" w:space="0" w:color="auto"/>
            <w:right w:val="none" w:sz="0" w:space="0" w:color="auto"/>
          </w:divBdr>
        </w:div>
        <w:div w:id="555775442">
          <w:marLeft w:val="1238"/>
          <w:marRight w:val="0"/>
          <w:marTop w:val="140"/>
          <w:marBottom w:val="0"/>
          <w:divBdr>
            <w:top w:val="none" w:sz="0" w:space="0" w:color="auto"/>
            <w:left w:val="none" w:sz="0" w:space="0" w:color="auto"/>
            <w:bottom w:val="none" w:sz="0" w:space="0" w:color="auto"/>
            <w:right w:val="none" w:sz="0" w:space="0" w:color="auto"/>
          </w:divBdr>
        </w:div>
        <w:div w:id="1380007109">
          <w:marLeft w:val="1238"/>
          <w:marRight w:val="0"/>
          <w:marTop w:val="140"/>
          <w:marBottom w:val="0"/>
          <w:divBdr>
            <w:top w:val="none" w:sz="0" w:space="0" w:color="auto"/>
            <w:left w:val="none" w:sz="0" w:space="0" w:color="auto"/>
            <w:bottom w:val="none" w:sz="0" w:space="0" w:color="auto"/>
            <w:right w:val="none" w:sz="0" w:space="0" w:color="auto"/>
          </w:divBdr>
        </w:div>
        <w:div w:id="372727739">
          <w:marLeft w:val="605"/>
          <w:marRight w:val="0"/>
          <w:marTop w:val="140"/>
          <w:marBottom w:val="0"/>
          <w:divBdr>
            <w:top w:val="none" w:sz="0" w:space="0" w:color="auto"/>
            <w:left w:val="none" w:sz="0" w:space="0" w:color="auto"/>
            <w:bottom w:val="none" w:sz="0" w:space="0" w:color="auto"/>
            <w:right w:val="none" w:sz="0" w:space="0" w:color="auto"/>
          </w:divBdr>
        </w:div>
        <w:div w:id="1060521250">
          <w:marLeft w:val="1238"/>
          <w:marRight w:val="0"/>
          <w:marTop w:val="140"/>
          <w:marBottom w:val="0"/>
          <w:divBdr>
            <w:top w:val="none" w:sz="0" w:space="0" w:color="auto"/>
            <w:left w:val="none" w:sz="0" w:space="0" w:color="auto"/>
            <w:bottom w:val="none" w:sz="0" w:space="0" w:color="auto"/>
            <w:right w:val="none" w:sz="0" w:space="0" w:color="auto"/>
          </w:divBdr>
        </w:div>
        <w:div w:id="1909725553">
          <w:marLeft w:val="1238"/>
          <w:marRight w:val="0"/>
          <w:marTop w:val="140"/>
          <w:marBottom w:val="0"/>
          <w:divBdr>
            <w:top w:val="none" w:sz="0" w:space="0" w:color="auto"/>
            <w:left w:val="none" w:sz="0" w:space="0" w:color="auto"/>
            <w:bottom w:val="none" w:sz="0" w:space="0" w:color="auto"/>
            <w:right w:val="none" w:sz="0" w:space="0" w:color="auto"/>
          </w:divBdr>
        </w:div>
        <w:div w:id="1947958513">
          <w:marLeft w:val="1238"/>
          <w:marRight w:val="0"/>
          <w:marTop w:val="140"/>
          <w:marBottom w:val="0"/>
          <w:divBdr>
            <w:top w:val="none" w:sz="0" w:space="0" w:color="auto"/>
            <w:left w:val="none" w:sz="0" w:space="0" w:color="auto"/>
            <w:bottom w:val="none" w:sz="0" w:space="0" w:color="auto"/>
            <w:right w:val="none" w:sz="0" w:space="0" w:color="auto"/>
          </w:divBdr>
        </w:div>
      </w:divsChild>
    </w:div>
    <w:div w:id="1655989316">
      <w:bodyDiv w:val="1"/>
      <w:marLeft w:val="0"/>
      <w:marRight w:val="0"/>
      <w:marTop w:val="0"/>
      <w:marBottom w:val="0"/>
      <w:divBdr>
        <w:top w:val="none" w:sz="0" w:space="0" w:color="auto"/>
        <w:left w:val="none" w:sz="0" w:space="0" w:color="auto"/>
        <w:bottom w:val="none" w:sz="0" w:space="0" w:color="auto"/>
        <w:right w:val="none" w:sz="0" w:space="0" w:color="auto"/>
      </w:divBdr>
      <w:divsChild>
        <w:div w:id="642924127">
          <w:marLeft w:val="547"/>
          <w:marRight w:val="0"/>
          <w:marTop w:val="0"/>
          <w:marBottom w:val="0"/>
          <w:divBdr>
            <w:top w:val="none" w:sz="0" w:space="0" w:color="auto"/>
            <w:left w:val="none" w:sz="0" w:space="0" w:color="auto"/>
            <w:bottom w:val="none" w:sz="0" w:space="0" w:color="auto"/>
            <w:right w:val="none" w:sz="0" w:space="0" w:color="auto"/>
          </w:divBdr>
        </w:div>
        <w:div w:id="1363633774">
          <w:marLeft w:val="1166"/>
          <w:marRight w:val="0"/>
          <w:marTop w:val="0"/>
          <w:marBottom w:val="0"/>
          <w:divBdr>
            <w:top w:val="none" w:sz="0" w:space="0" w:color="auto"/>
            <w:left w:val="none" w:sz="0" w:space="0" w:color="auto"/>
            <w:bottom w:val="none" w:sz="0" w:space="0" w:color="auto"/>
            <w:right w:val="none" w:sz="0" w:space="0" w:color="auto"/>
          </w:divBdr>
        </w:div>
        <w:div w:id="850874115">
          <w:marLeft w:val="1166"/>
          <w:marRight w:val="0"/>
          <w:marTop w:val="0"/>
          <w:marBottom w:val="0"/>
          <w:divBdr>
            <w:top w:val="none" w:sz="0" w:space="0" w:color="auto"/>
            <w:left w:val="none" w:sz="0" w:space="0" w:color="auto"/>
            <w:bottom w:val="none" w:sz="0" w:space="0" w:color="auto"/>
            <w:right w:val="none" w:sz="0" w:space="0" w:color="auto"/>
          </w:divBdr>
        </w:div>
        <w:div w:id="1330906784">
          <w:marLeft w:val="1166"/>
          <w:marRight w:val="0"/>
          <w:marTop w:val="0"/>
          <w:marBottom w:val="0"/>
          <w:divBdr>
            <w:top w:val="none" w:sz="0" w:space="0" w:color="auto"/>
            <w:left w:val="none" w:sz="0" w:space="0" w:color="auto"/>
            <w:bottom w:val="none" w:sz="0" w:space="0" w:color="auto"/>
            <w:right w:val="none" w:sz="0" w:space="0" w:color="auto"/>
          </w:divBdr>
        </w:div>
        <w:div w:id="1056583382">
          <w:marLeft w:val="1166"/>
          <w:marRight w:val="0"/>
          <w:marTop w:val="0"/>
          <w:marBottom w:val="0"/>
          <w:divBdr>
            <w:top w:val="none" w:sz="0" w:space="0" w:color="auto"/>
            <w:left w:val="none" w:sz="0" w:space="0" w:color="auto"/>
            <w:bottom w:val="none" w:sz="0" w:space="0" w:color="auto"/>
            <w:right w:val="none" w:sz="0" w:space="0" w:color="auto"/>
          </w:divBdr>
        </w:div>
        <w:div w:id="1271085597">
          <w:marLeft w:val="547"/>
          <w:marRight w:val="0"/>
          <w:marTop w:val="0"/>
          <w:marBottom w:val="0"/>
          <w:divBdr>
            <w:top w:val="none" w:sz="0" w:space="0" w:color="auto"/>
            <w:left w:val="none" w:sz="0" w:space="0" w:color="auto"/>
            <w:bottom w:val="none" w:sz="0" w:space="0" w:color="auto"/>
            <w:right w:val="none" w:sz="0" w:space="0" w:color="auto"/>
          </w:divBdr>
        </w:div>
        <w:div w:id="377896033">
          <w:marLeft w:val="1166"/>
          <w:marRight w:val="0"/>
          <w:marTop w:val="0"/>
          <w:marBottom w:val="0"/>
          <w:divBdr>
            <w:top w:val="none" w:sz="0" w:space="0" w:color="auto"/>
            <w:left w:val="none" w:sz="0" w:space="0" w:color="auto"/>
            <w:bottom w:val="none" w:sz="0" w:space="0" w:color="auto"/>
            <w:right w:val="none" w:sz="0" w:space="0" w:color="auto"/>
          </w:divBdr>
        </w:div>
        <w:div w:id="1827936463">
          <w:marLeft w:val="1166"/>
          <w:marRight w:val="0"/>
          <w:marTop w:val="0"/>
          <w:marBottom w:val="0"/>
          <w:divBdr>
            <w:top w:val="none" w:sz="0" w:space="0" w:color="auto"/>
            <w:left w:val="none" w:sz="0" w:space="0" w:color="auto"/>
            <w:bottom w:val="none" w:sz="0" w:space="0" w:color="auto"/>
            <w:right w:val="none" w:sz="0" w:space="0" w:color="auto"/>
          </w:divBdr>
        </w:div>
        <w:div w:id="1498577184">
          <w:marLeft w:val="1166"/>
          <w:marRight w:val="0"/>
          <w:marTop w:val="0"/>
          <w:marBottom w:val="0"/>
          <w:divBdr>
            <w:top w:val="none" w:sz="0" w:space="0" w:color="auto"/>
            <w:left w:val="none" w:sz="0" w:space="0" w:color="auto"/>
            <w:bottom w:val="none" w:sz="0" w:space="0" w:color="auto"/>
            <w:right w:val="none" w:sz="0" w:space="0" w:color="auto"/>
          </w:divBdr>
        </w:div>
        <w:div w:id="1597789319">
          <w:marLeft w:val="1166"/>
          <w:marRight w:val="0"/>
          <w:marTop w:val="0"/>
          <w:marBottom w:val="0"/>
          <w:divBdr>
            <w:top w:val="none" w:sz="0" w:space="0" w:color="auto"/>
            <w:left w:val="none" w:sz="0" w:space="0" w:color="auto"/>
            <w:bottom w:val="none" w:sz="0" w:space="0" w:color="auto"/>
            <w:right w:val="none" w:sz="0" w:space="0" w:color="auto"/>
          </w:divBdr>
        </w:div>
        <w:div w:id="1306399007">
          <w:marLeft w:val="547"/>
          <w:marRight w:val="0"/>
          <w:marTop w:val="0"/>
          <w:marBottom w:val="0"/>
          <w:divBdr>
            <w:top w:val="none" w:sz="0" w:space="0" w:color="auto"/>
            <w:left w:val="none" w:sz="0" w:space="0" w:color="auto"/>
            <w:bottom w:val="none" w:sz="0" w:space="0" w:color="auto"/>
            <w:right w:val="none" w:sz="0" w:space="0" w:color="auto"/>
          </w:divBdr>
        </w:div>
        <w:div w:id="1553809767">
          <w:marLeft w:val="1166"/>
          <w:marRight w:val="0"/>
          <w:marTop w:val="0"/>
          <w:marBottom w:val="0"/>
          <w:divBdr>
            <w:top w:val="none" w:sz="0" w:space="0" w:color="auto"/>
            <w:left w:val="none" w:sz="0" w:space="0" w:color="auto"/>
            <w:bottom w:val="none" w:sz="0" w:space="0" w:color="auto"/>
            <w:right w:val="none" w:sz="0" w:space="0" w:color="auto"/>
          </w:divBdr>
        </w:div>
        <w:div w:id="539319111">
          <w:marLeft w:val="1166"/>
          <w:marRight w:val="0"/>
          <w:marTop w:val="0"/>
          <w:marBottom w:val="0"/>
          <w:divBdr>
            <w:top w:val="none" w:sz="0" w:space="0" w:color="auto"/>
            <w:left w:val="none" w:sz="0" w:space="0" w:color="auto"/>
            <w:bottom w:val="none" w:sz="0" w:space="0" w:color="auto"/>
            <w:right w:val="none" w:sz="0" w:space="0" w:color="auto"/>
          </w:divBdr>
        </w:div>
      </w:divsChild>
    </w:div>
    <w:div w:id="1660960542">
      <w:bodyDiv w:val="1"/>
      <w:marLeft w:val="0"/>
      <w:marRight w:val="0"/>
      <w:marTop w:val="0"/>
      <w:marBottom w:val="0"/>
      <w:divBdr>
        <w:top w:val="none" w:sz="0" w:space="0" w:color="auto"/>
        <w:left w:val="none" w:sz="0" w:space="0" w:color="auto"/>
        <w:bottom w:val="none" w:sz="0" w:space="0" w:color="auto"/>
        <w:right w:val="none" w:sz="0" w:space="0" w:color="auto"/>
      </w:divBdr>
    </w:div>
    <w:div w:id="1814983657">
      <w:bodyDiv w:val="1"/>
      <w:marLeft w:val="0"/>
      <w:marRight w:val="0"/>
      <w:marTop w:val="0"/>
      <w:marBottom w:val="0"/>
      <w:divBdr>
        <w:top w:val="none" w:sz="0" w:space="0" w:color="auto"/>
        <w:left w:val="none" w:sz="0" w:space="0" w:color="auto"/>
        <w:bottom w:val="none" w:sz="0" w:space="0" w:color="auto"/>
        <w:right w:val="none" w:sz="0" w:space="0" w:color="auto"/>
      </w:divBdr>
      <w:divsChild>
        <w:div w:id="2015306309">
          <w:marLeft w:val="605"/>
          <w:marRight w:val="0"/>
          <w:marTop w:val="140"/>
          <w:marBottom w:val="0"/>
          <w:divBdr>
            <w:top w:val="none" w:sz="0" w:space="0" w:color="auto"/>
            <w:left w:val="none" w:sz="0" w:space="0" w:color="auto"/>
            <w:bottom w:val="none" w:sz="0" w:space="0" w:color="auto"/>
            <w:right w:val="none" w:sz="0" w:space="0" w:color="auto"/>
          </w:divBdr>
        </w:div>
        <w:div w:id="526019899">
          <w:marLeft w:val="1238"/>
          <w:marRight w:val="0"/>
          <w:marTop w:val="140"/>
          <w:marBottom w:val="0"/>
          <w:divBdr>
            <w:top w:val="none" w:sz="0" w:space="0" w:color="auto"/>
            <w:left w:val="none" w:sz="0" w:space="0" w:color="auto"/>
            <w:bottom w:val="none" w:sz="0" w:space="0" w:color="auto"/>
            <w:right w:val="none" w:sz="0" w:space="0" w:color="auto"/>
          </w:divBdr>
        </w:div>
        <w:div w:id="922760825">
          <w:marLeft w:val="1238"/>
          <w:marRight w:val="0"/>
          <w:marTop w:val="140"/>
          <w:marBottom w:val="0"/>
          <w:divBdr>
            <w:top w:val="none" w:sz="0" w:space="0" w:color="auto"/>
            <w:left w:val="none" w:sz="0" w:space="0" w:color="auto"/>
            <w:bottom w:val="none" w:sz="0" w:space="0" w:color="auto"/>
            <w:right w:val="none" w:sz="0" w:space="0" w:color="auto"/>
          </w:divBdr>
        </w:div>
        <w:div w:id="1632638464">
          <w:marLeft w:val="605"/>
          <w:marRight w:val="0"/>
          <w:marTop w:val="140"/>
          <w:marBottom w:val="0"/>
          <w:divBdr>
            <w:top w:val="none" w:sz="0" w:space="0" w:color="auto"/>
            <w:left w:val="none" w:sz="0" w:space="0" w:color="auto"/>
            <w:bottom w:val="none" w:sz="0" w:space="0" w:color="auto"/>
            <w:right w:val="none" w:sz="0" w:space="0" w:color="auto"/>
          </w:divBdr>
        </w:div>
        <w:div w:id="33039602">
          <w:marLeft w:val="1238"/>
          <w:marRight w:val="0"/>
          <w:marTop w:val="140"/>
          <w:marBottom w:val="0"/>
          <w:divBdr>
            <w:top w:val="none" w:sz="0" w:space="0" w:color="auto"/>
            <w:left w:val="none" w:sz="0" w:space="0" w:color="auto"/>
            <w:bottom w:val="none" w:sz="0" w:space="0" w:color="auto"/>
            <w:right w:val="none" w:sz="0" w:space="0" w:color="auto"/>
          </w:divBdr>
        </w:div>
        <w:div w:id="2089812835">
          <w:marLeft w:val="1238"/>
          <w:marRight w:val="0"/>
          <w:marTop w:val="140"/>
          <w:marBottom w:val="0"/>
          <w:divBdr>
            <w:top w:val="none" w:sz="0" w:space="0" w:color="auto"/>
            <w:left w:val="none" w:sz="0" w:space="0" w:color="auto"/>
            <w:bottom w:val="none" w:sz="0" w:space="0" w:color="auto"/>
            <w:right w:val="none" w:sz="0" w:space="0" w:color="auto"/>
          </w:divBdr>
        </w:div>
      </w:divsChild>
    </w:div>
    <w:div w:id="1857846726">
      <w:bodyDiv w:val="1"/>
      <w:marLeft w:val="0"/>
      <w:marRight w:val="0"/>
      <w:marTop w:val="0"/>
      <w:marBottom w:val="0"/>
      <w:divBdr>
        <w:top w:val="none" w:sz="0" w:space="0" w:color="auto"/>
        <w:left w:val="none" w:sz="0" w:space="0" w:color="auto"/>
        <w:bottom w:val="none" w:sz="0" w:space="0" w:color="auto"/>
        <w:right w:val="none" w:sz="0" w:space="0" w:color="auto"/>
      </w:divBdr>
    </w:div>
    <w:div w:id="1862350987">
      <w:bodyDiv w:val="1"/>
      <w:marLeft w:val="0"/>
      <w:marRight w:val="0"/>
      <w:marTop w:val="0"/>
      <w:marBottom w:val="0"/>
      <w:divBdr>
        <w:top w:val="none" w:sz="0" w:space="0" w:color="auto"/>
        <w:left w:val="none" w:sz="0" w:space="0" w:color="auto"/>
        <w:bottom w:val="none" w:sz="0" w:space="0" w:color="auto"/>
        <w:right w:val="none" w:sz="0" w:space="0" w:color="auto"/>
      </w:divBdr>
    </w:div>
    <w:div w:id="2062361824">
      <w:bodyDiv w:val="1"/>
      <w:marLeft w:val="0"/>
      <w:marRight w:val="0"/>
      <w:marTop w:val="0"/>
      <w:marBottom w:val="0"/>
      <w:divBdr>
        <w:top w:val="none" w:sz="0" w:space="0" w:color="auto"/>
        <w:left w:val="none" w:sz="0" w:space="0" w:color="auto"/>
        <w:bottom w:val="none" w:sz="0" w:space="0" w:color="auto"/>
        <w:right w:val="none" w:sz="0" w:space="0" w:color="auto"/>
      </w:divBdr>
      <w:divsChild>
        <w:div w:id="31536508">
          <w:marLeft w:val="605"/>
          <w:marRight w:val="0"/>
          <w:marTop w:val="0"/>
          <w:marBottom w:val="0"/>
          <w:divBdr>
            <w:top w:val="none" w:sz="0" w:space="0" w:color="auto"/>
            <w:left w:val="none" w:sz="0" w:space="0" w:color="auto"/>
            <w:bottom w:val="none" w:sz="0" w:space="0" w:color="auto"/>
            <w:right w:val="none" w:sz="0" w:space="0" w:color="auto"/>
          </w:divBdr>
        </w:div>
        <w:div w:id="2060204704">
          <w:marLeft w:val="1238"/>
          <w:marRight w:val="0"/>
          <w:marTop w:val="0"/>
          <w:marBottom w:val="0"/>
          <w:divBdr>
            <w:top w:val="none" w:sz="0" w:space="0" w:color="auto"/>
            <w:left w:val="none" w:sz="0" w:space="0" w:color="auto"/>
            <w:bottom w:val="none" w:sz="0" w:space="0" w:color="auto"/>
            <w:right w:val="none" w:sz="0" w:space="0" w:color="auto"/>
          </w:divBdr>
        </w:div>
        <w:div w:id="902377465">
          <w:marLeft w:val="1238"/>
          <w:marRight w:val="0"/>
          <w:marTop w:val="0"/>
          <w:marBottom w:val="0"/>
          <w:divBdr>
            <w:top w:val="none" w:sz="0" w:space="0" w:color="auto"/>
            <w:left w:val="none" w:sz="0" w:space="0" w:color="auto"/>
            <w:bottom w:val="none" w:sz="0" w:space="0" w:color="auto"/>
            <w:right w:val="none" w:sz="0" w:space="0" w:color="auto"/>
          </w:divBdr>
        </w:div>
        <w:div w:id="1968120471">
          <w:marLeft w:val="1238"/>
          <w:marRight w:val="0"/>
          <w:marTop w:val="0"/>
          <w:marBottom w:val="0"/>
          <w:divBdr>
            <w:top w:val="none" w:sz="0" w:space="0" w:color="auto"/>
            <w:left w:val="none" w:sz="0" w:space="0" w:color="auto"/>
            <w:bottom w:val="none" w:sz="0" w:space="0" w:color="auto"/>
            <w:right w:val="none" w:sz="0" w:space="0" w:color="auto"/>
          </w:divBdr>
        </w:div>
        <w:div w:id="161245214">
          <w:marLeft w:val="605"/>
          <w:marRight w:val="0"/>
          <w:marTop w:val="0"/>
          <w:marBottom w:val="0"/>
          <w:divBdr>
            <w:top w:val="none" w:sz="0" w:space="0" w:color="auto"/>
            <w:left w:val="none" w:sz="0" w:space="0" w:color="auto"/>
            <w:bottom w:val="none" w:sz="0" w:space="0" w:color="auto"/>
            <w:right w:val="none" w:sz="0" w:space="0" w:color="auto"/>
          </w:divBdr>
        </w:div>
        <w:div w:id="1819416261">
          <w:marLeft w:val="605"/>
          <w:marRight w:val="0"/>
          <w:marTop w:val="0"/>
          <w:marBottom w:val="0"/>
          <w:divBdr>
            <w:top w:val="none" w:sz="0" w:space="0" w:color="auto"/>
            <w:left w:val="none" w:sz="0" w:space="0" w:color="auto"/>
            <w:bottom w:val="none" w:sz="0" w:space="0" w:color="auto"/>
            <w:right w:val="none" w:sz="0" w:space="0" w:color="auto"/>
          </w:divBdr>
        </w:div>
        <w:div w:id="327102200">
          <w:marLeft w:val="605"/>
          <w:marRight w:val="0"/>
          <w:marTop w:val="0"/>
          <w:marBottom w:val="0"/>
          <w:divBdr>
            <w:top w:val="none" w:sz="0" w:space="0" w:color="auto"/>
            <w:left w:val="none" w:sz="0" w:space="0" w:color="auto"/>
            <w:bottom w:val="none" w:sz="0" w:space="0" w:color="auto"/>
            <w:right w:val="none" w:sz="0" w:space="0" w:color="auto"/>
          </w:divBdr>
        </w:div>
        <w:div w:id="154565830">
          <w:marLeft w:val="605"/>
          <w:marRight w:val="0"/>
          <w:marTop w:val="0"/>
          <w:marBottom w:val="0"/>
          <w:divBdr>
            <w:top w:val="none" w:sz="0" w:space="0" w:color="auto"/>
            <w:left w:val="none" w:sz="0" w:space="0" w:color="auto"/>
            <w:bottom w:val="none" w:sz="0" w:space="0" w:color="auto"/>
            <w:right w:val="none" w:sz="0" w:space="0" w:color="auto"/>
          </w:divBdr>
        </w:div>
        <w:div w:id="1600674872">
          <w:marLeft w:val="123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ews.net/docs/Publications/Market%20Assessment%20and%20Analysis%20Training%20Module.pdf" TargetMode="External"/><Relationship Id="rId20" Type="http://schemas.openxmlformats.org/officeDocument/2006/relationships/hyperlink" Target="http://dx.doi.org/10.1016%2Fj.foodpol.2009.02.001" TargetMode="External"/><Relationship Id="rId21" Type="http://schemas.openxmlformats.org/officeDocument/2006/relationships/hyperlink" Target="http://www.sciencedirect.com/science/article/pii/S0306919209000189" TargetMode="External"/><Relationship Id="rId22" Type="http://schemas.openxmlformats.org/officeDocument/2006/relationships/hyperlink" Target="http://www.adb.org/documents/Working-Papers/2008/Economics-WP128.pdf" TargetMode="Externa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image" Target="media/image5.jpeg"/><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dx.doi.org/10.1016%2FS0305-750X%2800%2900121-2" TargetMode="External"/><Relationship Id="rId11" Type="http://schemas.openxmlformats.org/officeDocument/2006/relationships/hyperlink" Target="http://www.sciencedirect.com/science/article/pii/S0305750X00001212" TargetMode="External"/><Relationship Id="rId12" Type="http://schemas.openxmlformats.org/officeDocument/2006/relationships/hyperlink" Target="http://www.foreignaffairs.com/articles/67981/christopher-b-barrett-and-marc-f-bellemare/why-food-price-volatility-doesnt-matter" TargetMode="External"/><Relationship Id="rId13" Type="http://schemas.openxmlformats.org/officeDocument/2006/relationships/hyperlink" Target="http://dx.doi.org/10.1016%2Fj.foodpol.2009.02.001" TargetMode="External"/><Relationship Id="rId14" Type="http://schemas.openxmlformats.org/officeDocument/2006/relationships/hyperlink" Target="http://www.sciencedirect.com/science/article/pii/S0306919209000189" TargetMode="External"/><Relationship Id="rId15" Type="http://schemas.openxmlformats.org/officeDocument/2006/relationships/hyperlink" Target="http://www.adb.org/documents/Working-Papers/2008/Economics-WP128.pdf" TargetMode="External"/><Relationship Id="rId16" Type="http://schemas.openxmlformats.org/officeDocument/2006/relationships/hyperlink" Target="http://www.fews.net/docs/Publications/Market%20Assessment%20and%20Analysis%20Training%20Module.pdf" TargetMode="External"/><Relationship Id="rId17" Type="http://schemas.openxmlformats.org/officeDocument/2006/relationships/hyperlink" Target="http://dx.doi.org/10.1016%2FS0305-750X%2800%2900121-2" TargetMode="External"/><Relationship Id="rId18" Type="http://schemas.openxmlformats.org/officeDocument/2006/relationships/hyperlink" Target="http://www.sciencedirect.com/science/article/pii/S0305750X00001212" TargetMode="External"/><Relationship Id="rId19" Type="http://schemas.openxmlformats.org/officeDocument/2006/relationships/hyperlink" Target="http://www.foreignaffairs.com/articles/67981/christopher-b-barrett-and-marc-f-bellemare/why-food-price-volatility-doesnt-mat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3D0E-6957-104E-823C-D476BC65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1931</Words>
  <Characters>11012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Lentz</dc:creator>
  <cp:lastModifiedBy>Erin Lentz</cp:lastModifiedBy>
  <cp:revision>2</cp:revision>
  <cp:lastPrinted>2012-02-07T21:16:00Z</cp:lastPrinted>
  <dcterms:created xsi:type="dcterms:W3CDTF">2012-03-28T00:29:00Z</dcterms:created>
  <dcterms:modified xsi:type="dcterms:W3CDTF">2012-03-28T00:29:00Z</dcterms:modified>
</cp:coreProperties>
</file>